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CA7B" w14:textId="063BEF94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  <w:bookmarkStart w:id="0" w:name="_Toc452969658"/>
    </w:p>
    <w:p w14:paraId="652494F1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  <w:r>
        <w:rPr>
          <w:rFonts w:cs="Arial"/>
          <w:noProof/>
          <w:sz w:val="13"/>
          <w:szCs w:val="13"/>
          <w:lang w:eastAsia="en-AU"/>
        </w:rPr>
        <w:drawing>
          <wp:anchor distT="0" distB="0" distL="114300" distR="114300" simplePos="0" relativeHeight="251663360" behindDoc="1" locked="0" layoutInCell="1" allowOverlap="1" wp14:anchorId="7E5F6620" wp14:editId="2CDDCEBD">
            <wp:simplePos x="0" y="0"/>
            <wp:positionH relativeFrom="page">
              <wp:posOffset>-49530</wp:posOffset>
            </wp:positionH>
            <wp:positionV relativeFrom="page">
              <wp:posOffset>-42545</wp:posOffset>
            </wp:positionV>
            <wp:extent cx="287655" cy="10694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2CD99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1A463D94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13B505D3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22AD25D4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6790F601" w14:textId="77777777" w:rsidR="00282A7B" w:rsidRPr="00282A7B" w:rsidRDefault="00282A7B" w:rsidP="00282A7B">
      <w:pPr>
        <w:pStyle w:val="Heading1"/>
        <w:jc w:val="center"/>
        <w:rPr>
          <w:sz w:val="48"/>
          <w:szCs w:val="48"/>
        </w:rPr>
      </w:pPr>
      <w:r w:rsidRPr="00282A7B">
        <w:rPr>
          <w:sz w:val="48"/>
          <w:szCs w:val="48"/>
        </w:rPr>
        <w:t>Investment Policy</w:t>
      </w:r>
    </w:p>
    <w:p w14:paraId="3F3A62D9" w14:textId="77777777" w:rsidR="00282A7B" w:rsidRPr="00282A7B" w:rsidRDefault="00282A7B" w:rsidP="00282A7B">
      <w:pPr>
        <w:pStyle w:val="Heading1"/>
        <w:jc w:val="center"/>
        <w:rPr>
          <w:sz w:val="48"/>
          <w:szCs w:val="48"/>
        </w:rPr>
      </w:pPr>
      <w:r w:rsidRPr="00282A7B">
        <w:rPr>
          <w:noProof/>
          <w:sz w:val="48"/>
          <w:szCs w:val="48"/>
          <w:lang w:val="en-AU"/>
        </w:rPr>
        <w:drawing>
          <wp:anchor distT="0" distB="0" distL="114300" distR="114300" simplePos="0" relativeHeight="251661312" behindDoc="1" locked="0" layoutInCell="1" allowOverlap="1" wp14:anchorId="5450FEE7" wp14:editId="424FC061">
            <wp:simplePos x="0" y="0"/>
            <wp:positionH relativeFrom="page">
              <wp:posOffset>-49530</wp:posOffset>
            </wp:positionH>
            <wp:positionV relativeFrom="page">
              <wp:posOffset>-42545</wp:posOffset>
            </wp:positionV>
            <wp:extent cx="287655" cy="10694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A7B">
        <w:rPr>
          <w:sz w:val="48"/>
          <w:szCs w:val="48"/>
        </w:rPr>
        <w:t>20</w:t>
      </w:r>
      <w:bookmarkEnd w:id="0"/>
      <w:r w:rsidRPr="00282A7B">
        <w:rPr>
          <w:sz w:val="48"/>
          <w:szCs w:val="48"/>
        </w:rPr>
        <w:t>20</w:t>
      </w:r>
      <w:r w:rsidR="00B94F9B">
        <w:rPr>
          <w:sz w:val="48"/>
          <w:szCs w:val="48"/>
        </w:rPr>
        <w:t>-21</w:t>
      </w:r>
    </w:p>
    <w:p w14:paraId="3DEEFA8B" w14:textId="77777777" w:rsidR="00282A7B" w:rsidRPr="00452A1B" w:rsidRDefault="00282A7B" w:rsidP="00282A7B">
      <w:pPr>
        <w:pStyle w:val="Normal0"/>
        <w:rPr>
          <w:rFonts w:cs="Arial"/>
          <w:sz w:val="13"/>
          <w:szCs w:val="13"/>
        </w:rPr>
      </w:pPr>
    </w:p>
    <w:p w14:paraId="140E8CED" w14:textId="77777777" w:rsidR="00282A7B" w:rsidRPr="00452A1B" w:rsidRDefault="00282A7B" w:rsidP="00282A7B">
      <w:pPr>
        <w:pStyle w:val="Normal0"/>
        <w:rPr>
          <w:rFonts w:cs="Arial"/>
          <w:sz w:val="13"/>
          <w:szCs w:val="13"/>
        </w:rPr>
      </w:pPr>
    </w:p>
    <w:p w14:paraId="0D411F31" w14:textId="77777777" w:rsidR="00282A7B" w:rsidRPr="00452A1B" w:rsidRDefault="00282A7B" w:rsidP="00282A7B">
      <w:pPr>
        <w:pStyle w:val="Normal0"/>
        <w:rPr>
          <w:rFonts w:cs="Arial"/>
          <w:sz w:val="13"/>
          <w:szCs w:val="13"/>
        </w:rPr>
      </w:pPr>
    </w:p>
    <w:p w14:paraId="16564C08" w14:textId="77777777" w:rsidR="00282A7B" w:rsidRPr="00452A1B" w:rsidRDefault="00282A7B" w:rsidP="00282A7B">
      <w:pPr>
        <w:pStyle w:val="Normal0"/>
        <w:rPr>
          <w:rFonts w:cs="Arial"/>
          <w:sz w:val="13"/>
          <w:szCs w:val="13"/>
        </w:rPr>
      </w:pPr>
    </w:p>
    <w:p w14:paraId="07AF8F59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751B04E6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2897D4E8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63CF8ABE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2C0A7949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28DBAC54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0E6EDEF2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4E6BA7E1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131444E6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0BA3DD16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28654AF1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50F8D0FF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7476B17B" w14:textId="77777777" w:rsidR="00282A7B" w:rsidRDefault="00282A7B" w:rsidP="00282A7B">
      <w:pPr>
        <w:pStyle w:val="Normal0"/>
        <w:rPr>
          <w:rFonts w:cs="Arial"/>
          <w:sz w:val="13"/>
          <w:szCs w:val="13"/>
        </w:rPr>
      </w:pPr>
    </w:p>
    <w:p w14:paraId="0883BCA4" w14:textId="77777777" w:rsidR="00282A7B" w:rsidRDefault="00282A7B" w:rsidP="00282A7B">
      <w:pPr>
        <w:pStyle w:val="Normal0"/>
        <w:rPr>
          <w:rFonts w:cs="Arial"/>
          <w:sz w:val="13"/>
          <w:szCs w:val="13"/>
        </w:rPr>
      </w:pPr>
    </w:p>
    <w:p w14:paraId="40E883EB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3319ABE2" w14:textId="77777777" w:rsidR="00282A7B" w:rsidRPr="00230B08" w:rsidRDefault="00282A7B" w:rsidP="00282A7B">
      <w:pPr>
        <w:pStyle w:val="Normal0"/>
        <w:rPr>
          <w:rFonts w:cs="Arial"/>
          <w:sz w:val="13"/>
          <w:szCs w:val="13"/>
        </w:rPr>
      </w:pPr>
    </w:p>
    <w:p w14:paraId="7AE3CAF3" w14:textId="77777777" w:rsidR="00282A7B" w:rsidRDefault="00282A7B" w:rsidP="00282A7B">
      <w:pPr>
        <w:pStyle w:val="Default"/>
        <w:spacing w:before="5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napToGrid/>
          <w:lang w:eastAsia="en-AU"/>
        </w:rPr>
        <w:drawing>
          <wp:anchor distT="0" distB="2921" distL="114300" distR="116459" simplePos="0" relativeHeight="251662336" behindDoc="0" locked="0" layoutInCell="1" allowOverlap="1" wp14:anchorId="089428A0" wp14:editId="36E73E5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37665" cy="887095"/>
            <wp:effectExtent l="0" t="0" r="635" b="8255"/>
            <wp:wrapSquare wrapText="bothSides"/>
            <wp:docPr id="2" name="Picture 2" descr="Brisbane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bane City Counci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DC1EB" w14:textId="77777777" w:rsidR="00282A7B" w:rsidRDefault="00282A7B" w:rsidP="00282A7B">
      <w:pPr>
        <w:pStyle w:val="Default"/>
        <w:spacing w:before="54"/>
        <w:jc w:val="center"/>
        <w:rPr>
          <w:rFonts w:ascii="Arial" w:hAnsi="Arial" w:cs="Arial"/>
          <w:b/>
        </w:rPr>
      </w:pPr>
    </w:p>
    <w:p w14:paraId="2F350EBE" w14:textId="77777777" w:rsidR="00282A7B" w:rsidRDefault="00282A7B" w:rsidP="00282A7B">
      <w:pPr>
        <w:pStyle w:val="Default"/>
        <w:spacing w:before="54"/>
        <w:jc w:val="center"/>
        <w:rPr>
          <w:rFonts w:ascii="Arial" w:hAnsi="Arial" w:cs="Arial"/>
          <w:b/>
        </w:rPr>
      </w:pPr>
    </w:p>
    <w:p w14:paraId="2183559C" w14:textId="77777777" w:rsidR="00282A7B" w:rsidRDefault="00282A7B" w:rsidP="00282A7B">
      <w:pPr>
        <w:pStyle w:val="Default"/>
        <w:spacing w:before="54"/>
        <w:jc w:val="center"/>
        <w:rPr>
          <w:rFonts w:ascii="Arial" w:hAnsi="Arial" w:cs="Arial"/>
          <w:b/>
        </w:rPr>
      </w:pPr>
    </w:p>
    <w:p w14:paraId="4677F932" w14:textId="77777777" w:rsidR="00282A7B" w:rsidRDefault="00282A7B" w:rsidP="00282A7B">
      <w:pPr>
        <w:pStyle w:val="Default"/>
        <w:spacing w:before="54"/>
        <w:jc w:val="center"/>
        <w:rPr>
          <w:rFonts w:ascii="Arial" w:hAnsi="Arial" w:cs="Arial"/>
          <w:b/>
        </w:rPr>
      </w:pPr>
    </w:p>
    <w:p w14:paraId="039FBD7F" w14:textId="77777777" w:rsidR="00282A7B" w:rsidRDefault="00282A7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2356BCF" w14:textId="77777777" w:rsidR="00282A7B" w:rsidRDefault="00282A7B" w:rsidP="00581646">
      <w:pPr>
        <w:spacing w:before="54" w:after="0"/>
        <w:jc w:val="center"/>
        <w:rPr>
          <w:rFonts w:ascii="Arial" w:hAnsi="Arial" w:cs="Arial"/>
          <w:b/>
          <w:sz w:val="20"/>
          <w:szCs w:val="20"/>
        </w:rPr>
        <w:sectPr w:rsidR="00282A7B" w:rsidSect="00791B40">
          <w:pgSz w:w="11906" w:h="16838"/>
          <w:pgMar w:top="1134" w:right="992" w:bottom="567" w:left="992" w:header="709" w:footer="709" w:gutter="0"/>
          <w:cols w:space="708"/>
          <w:docGrid w:linePitch="360"/>
        </w:sectPr>
      </w:pPr>
    </w:p>
    <w:p w14:paraId="7675A04A" w14:textId="4462A6E7" w:rsidR="0046330C" w:rsidRPr="00581646" w:rsidRDefault="0046330C" w:rsidP="00F7161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81646">
        <w:rPr>
          <w:rFonts w:ascii="Arial" w:hAnsi="Arial" w:cs="Arial"/>
          <w:b/>
          <w:sz w:val="20"/>
          <w:szCs w:val="20"/>
        </w:rPr>
        <w:lastRenderedPageBreak/>
        <w:t>Brisbane City Council</w:t>
      </w:r>
    </w:p>
    <w:p w14:paraId="19932AA6" w14:textId="77777777" w:rsidR="00F17161" w:rsidRPr="00581646" w:rsidRDefault="0046330C" w:rsidP="00F71613">
      <w:pPr>
        <w:pStyle w:val="Default"/>
        <w:jc w:val="center"/>
        <w:rPr>
          <w:rFonts w:ascii="Arial" w:hAnsi="Arial" w:cs="Arial"/>
          <w:b/>
        </w:rPr>
      </w:pPr>
      <w:r w:rsidRPr="00581646">
        <w:rPr>
          <w:rFonts w:ascii="Arial" w:hAnsi="Arial" w:cs="Arial"/>
          <w:b/>
        </w:rPr>
        <w:t>Investment Policy</w:t>
      </w:r>
      <w:r w:rsidR="008C5249" w:rsidRPr="00581646">
        <w:rPr>
          <w:rFonts w:ascii="Arial" w:hAnsi="Arial" w:cs="Arial"/>
          <w:b/>
        </w:rPr>
        <w:t xml:space="preserve"> </w:t>
      </w:r>
      <w:r w:rsidR="00F17161" w:rsidRPr="00581646">
        <w:rPr>
          <w:rFonts w:ascii="Arial" w:hAnsi="Arial" w:cs="Arial"/>
          <w:b/>
        </w:rPr>
        <w:t>20</w:t>
      </w:r>
      <w:r w:rsidR="00084847">
        <w:rPr>
          <w:rFonts w:ascii="Arial" w:hAnsi="Arial" w:cs="Arial"/>
          <w:b/>
        </w:rPr>
        <w:t>20</w:t>
      </w:r>
      <w:r w:rsidR="00B94F9B">
        <w:rPr>
          <w:rFonts w:ascii="Arial" w:hAnsi="Arial" w:cs="Arial"/>
          <w:b/>
        </w:rPr>
        <w:t>-21</w:t>
      </w:r>
    </w:p>
    <w:p w14:paraId="3DD7EE35" w14:textId="77777777" w:rsidR="00F17161" w:rsidRPr="00A36952" w:rsidRDefault="00F17161" w:rsidP="00A36952">
      <w:pPr>
        <w:pStyle w:val="Normal0"/>
        <w:rPr>
          <w:rFonts w:cs="Arial"/>
          <w:sz w:val="13"/>
          <w:szCs w:val="13"/>
        </w:rPr>
      </w:pPr>
    </w:p>
    <w:p w14:paraId="1FDA412C" w14:textId="27B80F89" w:rsidR="0046330C" w:rsidRPr="00F71613" w:rsidRDefault="0086523D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1.</w:t>
      </w:r>
      <w:r w:rsidRPr="00F71613">
        <w:rPr>
          <w:rFonts w:cs="Arial"/>
          <w:caps/>
        </w:rPr>
        <w:tab/>
      </w:r>
      <w:r w:rsidR="001D4F35">
        <w:rPr>
          <w:rFonts w:cs="Arial"/>
          <w:caps/>
        </w:rPr>
        <w:t>Legislation</w:t>
      </w:r>
    </w:p>
    <w:p w14:paraId="1302E744" w14:textId="77777777" w:rsidR="001D4F35" w:rsidRDefault="001D4F35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</w:p>
    <w:p w14:paraId="716ECA9B" w14:textId="3A0783ED" w:rsidR="0046330C" w:rsidRDefault="001D4F35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S</w:t>
      </w:r>
      <w:r w:rsidR="0086523D" w:rsidRPr="001D4F35">
        <w:rPr>
          <w:rFonts w:ascii="Arial" w:hAnsi="Arial"/>
          <w:sz w:val="20"/>
        </w:rPr>
        <w:t xml:space="preserve">ection </w:t>
      </w:r>
      <w:r w:rsidR="0046330C" w:rsidRPr="001D4F35">
        <w:rPr>
          <w:rFonts w:ascii="Arial" w:hAnsi="Arial"/>
          <w:sz w:val="20"/>
        </w:rPr>
        <w:t xml:space="preserve">183 of the </w:t>
      </w:r>
      <w:r w:rsidR="0046330C" w:rsidRPr="001D4F35">
        <w:rPr>
          <w:rFonts w:ascii="Arial" w:hAnsi="Arial"/>
          <w:i/>
          <w:sz w:val="20"/>
        </w:rPr>
        <w:t>City of Brisbane Regulation 2012</w:t>
      </w:r>
      <w:r w:rsidR="0046330C" w:rsidRPr="001D4F35">
        <w:rPr>
          <w:rFonts w:ascii="Arial" w:hAnsi="Arial"/>
          <w:sz w:val="20"/>
        </w:rPr>
        <w:t xml:space="preserve"> </w:t>
      </w:r>
      <w:r w:rsidR="0086523D" w:rsidRPr="001D4F35">
        <w:rPr>
          <w:rFonts w:ascii="Arial" w:hAnsi="Arial"/>
          <w:sz w:val="20"/>
        </w:rPr>
        <w:t xml:space="preserve">(the Regulation) </w:t>
      </w:r>
      <w:r w:rsidRPr="001D4F35">
        <w:rPr>
          <w:rFonts w:ascii="Arial" w:hAnsi="Arial"/>
          <w:sz w:val="20"/>
        </w:rPr>
        <w:t xml:space="preserve">provides </w:t>
      </w:r>
      <w:r w:rsidR="0046330C" w:rsidRPr="001D4F35">
        <w:rPr>
          <w:rFonts w:ascii="Arial" w:hAnsi="Arial"/>
          <w:sz w:val="20"/>
        </w:rPr>
        <w:t xml:space="preserve">that Council </w:t>
      </w:r>
      <w:r w:rsidRPr="001D4F35">
        <w:rPr>
          <w:rFonts w:ascii="Arial" w:hAnsi="Arial"/>
          <w:sz w:val="20"/>
        </w:rPr>
        <w:t xml:space="preserve">must prepare </w:t>
      </w:r>
      <w:r w:rsidR="0046330C" w:rsidRPr="001D4F35">
        <w:rPr>
          <w:rFonts w:ascii="Arial" w:hAnsi="Arial"/>
          <w:sz w:val="20"/>
        </w:rPr>
        <w:t>and adopt</w:t>
      </w:r>
      <w:r w:rsidRPr="001D4F35">
        <w:rPr>
          <w:rFonts w:ascii="Arial" w:hAnsi="Arial"/>
          <w:sz w:val="20"/>
        </w:rPr>
        <w:t xml:space="preserve">, by resolution, </w:t>
      </w:r>
      <w:r w:rsidR="0046330C" w:rsidRPr="001D4F35">
        <w:rPr>
          <w:rFonts w:ascii="Arial" w:hAnsi="Arial"/>
          <w:sz w:val="20"/>
        </w:rPr>
        <w:t>an investment policy.</w:t>
      </w:r>
    </w:p>
    <w:p w14:paraId="425F9146" w14:textId="77777777" w:rsidR="001D4F35" w:rsidRPr="00F71613" w:rsidRDefault="001D4F35" w:rsidP="00F71613">
      <w:pPr>
        <w:pStyle w:val="Default"/>
      </w:pPr>
    </w:p>
    <w:p w14:paraId="6754F2BC" w14:textId="77777777" w:rsidR="0046330C" w:rsidRPr="00F71613" w:rsidRDefault="0086523D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2.</w:t>
      </w:r>
      <w:r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Overview</w:t>
      </w:r>
    </w:p>
    <w:p w14:paraId="40F0FB00" w14:textId="77777777" w:rsidR="001D4F35" w:rsidRDefault="001D4F35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</w:p>
    <w:p w14:paraId="77DA0DA2" w14:textId="7F870B60" w:rsidR="0046330C" w:rsidRPr="001D4F35" w:rsidRDefault="001D4F35" w:rsidP="00F71613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 xml:space="preserve">This </w:t>
      </w:r>
      <w:r w:rsidR="0046330C" w:rsidRPr="001D4F35">
        <w:rPr>
          <w:rFonts w:ascii="Arial" w:hAnsi="Arial"/>
          <w:sz w:val="20"/>
        </w:rPr>
        <w:t>investment policy:</w:t>
      </w:r>
    </w:p>
    <w:p w14:paraId="0349E981" w14:textId="7ACC6F1D" w:rsidR="0046330C" w:rsidRPr="001D4F35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(a)</w:t>
      </w:r>
      <w:r w:rsidRPr="001D4F35">
        <w:rPr>
          <w:rFonts w:ascii="Arial" w:hAnsi="Arial"/>
          <w:sz w:val="20"/>
        </w:rPr>
        <w:tab/>
      </w:r>
      <w:r w:rsidR="001D4F35" w:rsidRPr="001D4F35">
        <w:rPr>
          <w:rFonts w:ascii="Arial" w:hAnsi="Arial"/>
          <w:sz w:val="20"/>
        </w:rPr>
        <w:t xml:space="preserve">seeks </w:t>
      </w:r>
      <w:r w:rsidR="0046330C" w:rsidRPr="001D4F35">
        <w:rPr>
          <w:rFonts w:ascii="Arial" w:hAnsi="Arial"/>
          <w:sz w:val="20"/>
        </w:rPr>
        <w:t>to comply in all respects with legislative requirements and</w:t>
      </w:r>
    </w:p>
    <w:p w14:paraId="458FB1D6" w14:textId="77777777" w:rsidR="001D4F35" w:rsidRPr="001D4F35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(b)</w:t>
      </w:r>
      <w:r w:rsidRPr="001D4F35">
        <w:rPr>
          <w:rFonts w:ascii="Arial" w:hAnsi="Arial"/>
          <w:sz w:val="20"/>
        </w:rPr>
        <w:tab/>
      </w:r>
      <w:r w:rsidR="001D4F35" w:rsidRPr="001D4F35">
        <w:rPr>
          <w:rFonts w:ascii="Arial" w:hAnsi="Arial"/>
          <w:sz w:val="20"/>
        </w:rPr>
        <w:t>outlines Council’s investment objectives and overall risk philosophy and</w:t>
      </w:r>
    </w:p>
    <w:p w14:paraId="34A62C85" w14:textId="77777777" w:rsidR="001D4F35" w:rsidRPr="001D4F35" w:rsidRDefault="001D4F35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(c)</w:t>
      </w:r>
      <w:r w:rsidRPr="001D4F35">
        <w:rPr>
          <w:rFonts w:ascii="Arial" w:hAnsi="Arial"/>
          <w:sz w:val="20"/>
        </w:rPr>
        <w:tab/>
        <w:t>outlines Council’s procedures for achieving the goals related to investments stated in this policy and</w:t>
      </w:r>
    </w:p>
    <w:p w14:paraId="6606C9A0" w14:textId="0FCF9483" w:rsidR="0046330C" w:rsidRDefault="001D4F35" w:rsidP="001D4F35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(d)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set</w:t>
      </w:r>
      <w:r w:rsidRPr="001D4F35">
        <w:rPr>
          <w:rFonts w:ascii="Arial" w:hAnsi="Arial"/>
          <w:sz w:val="20"/>
        </w:rPr>
        <w:t>s</w:t>
      </w:r>
      <w:r w:rsidR="0046330C" w:rsidRPr="001D4F35">
        <w:rPr>
          <w:rFonts w:ascii="Arial" w:hAnsi="Arial"/>
          <w:sz w:val="20"/>
        </w:rPr>
        <w:t xml:space="preserve"> out the principles used by Council to acquire, manage and dispose of investments.</w:t>
      </w:r>
    </w:p>
    <w:p w14:paraId="2D71DAC4" w14:textId="77777777" w:rsidR="001D4F35" w:rsidRPr="00F71613" w:rsidRDefault="001D4F35" w:rsidP="00F71613">
      <w:pPr>
        <w:pStyle w:val="Default"/>
      </w:pPr>
    </w:p>
    <w:p w14:paraId="03E24A4D" w14:textId="77777777" w:rsidR="0046330C" w:rsidRPr="00F71613" w:rsidRDefault="0086523D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3.</w:t>
      </w:r>
      <w:r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Applicability</w:t>
      </w:r>
    </w:p>
    <w:p w14:paraId="1B492F30" w14:textId="77777777" w:rsidR="001D4F35" w:rsidRDefault="001D4F35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</w:p>
    <w:p w14:paraId="61A3F54A" w14:textId="77777777" w:rsidR="0046330C" w:rsidRPr="001D4F35" w:rsidRDefault="0046330C" w:rsidP="00F71613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This investment policy is effective from the date of Council’s resolution</w:t>
      </w:r>
      <w:r w:rsidR="001D4F35" w:rsidRPr="001D4F35">
        <w:rPr>
          <w:rFonts w:ascii="Arial" w:hAnsi="Arial"/>
          <w:sz w:val="20"/>
        </w:rPr>
        <w:t xml:space="preserve"> and expires on 30 June 2021</w:t>
      </w:r>
      <w:r w:rsidR="003866EB" w:rsidRPr="001D4F35">
        <w:rPr>
          <w:rFonts w:ascii="Arial" w:hAnsi="Arial"/>
          <w:sz w:val="20"/>
        </w:rPr>
        <w:t>.</w:t>
      </w:r>
    </w:p>
    <w:p w14:paraId="6A060234" w14:textId="77777777" w:rsidR="001D4F35" w:rsidRDefault="001D4F35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</w:p>
    <w:p w14:paraId="038F7B6E" w14:textId="5B6E9308" w:rsidR="0046330C" w:rsidRDefault="0046330C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The investment policy will be used</w:t>
      </w:r>
      <w:r w:rsidR="009F0E56" w:rsidRPr="001D4F35">
        <w:rPr>
          <w:rFonts w:ascii="Arial" w:hAnsi="Arial"/>
          <w:sz w:val="20"/>
        </w:rPr>
        <w:t xml:space="preserve"> when reviewing, preparing and applying related investment policies, procedures and guidelines.</w:t>
      </w:r>
    </w:p>
    <w:p w14:paraId="327EEC13" w14:textId="77777777" w:rsidR="001D4F35" w:rsidRPr="00F71613" w:rsidRDefault="001D4F35" w:rsidP="00F71613">
      <w:pPr>
        <w:pStyle w:val="Default"/>
      </w:pPr>
    </w:p>
    <w:p w14:paraId="4A3368D2" w14:textId="77777777" w:rsidR="0046330C" w:rsidRPr="00F71613" w:rsidRDefault="0086523D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4.</w:t>
      </w:r>
      <w:r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Philosophy and Strategy for Investment and Risk</w:t>
      </w:r>
    </w:p>
    <w:p w14:paraId="31492AEA" w14:textId="77777777" w:rsidR="001D4F35" w:rsidRDefault="001D4F35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</w:p>
    <w:p w14:paraId="5F0018B1" w14:textId="77777777" w:rsidR="0046330C" w:rsidRDefault="0046330C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Council’s philosophy and strategy for investments and risk are contained in Council’s Financial Risk Management Framework</w:t>
      </w:r>
      <w:r w:rsidR="003866EB" w:rsidRPr="001D4F35">
        <w:rPr>
          <w:rFonts w:ascii="Arial" w:hAnsi="Arial"/>
          <w:sz w:val="20"/>
        </w:rPr>
        <w:t xml:space="preserve">. </w:t>
      </w:r>
      <w:r w:rsidRPr="001D4F35">
        <w:rPr>
          <w:rFonts w:ascii="Arial" w:hAnsi="Arial"/>
          <w:sz w:val="20"/>
        </w:rPr>
        <w:t xml:space="preserve">Investments are undertaken in accordance with the </w:t>
      </w:r>
      <w:r w:rsidR="0086523D" w:rsidRPr="001D4F35">
        <w:rPr>
          <w:rFonts w:ascii="Arial" w:hAnsi="Arial"/>
          <w:sz w:val="20"/>
        </w:rPr>
        <w:t xml:space="preserve">Queensland </w:t>
      </w:r>
      <w:r w:rsidRPr="001D4F35">
        <w:rPr>
          <w:rFonts w:ascii="Arial" w:hAnsi="Arial"/>
          <w:sz w:val="20"/>
        </w:rPr>
        <w:t xml:space="preserve">Government’s </w:t>
      </w:r>
      <w:r w:rsidRPr="001D4F35">
        <w:rPr>
          <w:rFonts w:ascii="Arial" w:hAnsi="Arial"/>
          <w:i/>
          <w:sz w:val="20"/>
        </w:rPr>
        <w:t>Statutory Bodies Financial Arrangements Act</w:t>
      </w:r>
      <w:r w:rsidR="00875FDE" w:rsidRPr="001D4F35">
        <w:rPr>
          <w:rFonts w:ascii="Arial" w:hAnsi="Arial"/>
          <w:i/>
          <w:sz w:val="20"/>
        </w:rPr>
        <w:t xml:space="preserve"> 1982</w:t>
      </w:r>
      <w:r w:rsidRPr="001D4F35">
        <w:rPr>
          <w:rFonts w:ascii="Arial" w:hAnsi="Arial"/>
          <w:sz w:val="20"/>
        </w:rPr>
        <w:t>.</w:t>
      </w:r>
    </w:p>
    <w:p w14:paraId="21C0154B" w14:textId="77777777" w:rsidR="001D4F35" w:rsidRPr="00F71613" w:rsidRDefault="001D4F35" w:rsidP="00F71613">
      <w:pPr>
        <w:pStyle w:val="Default"/>
      </w:pPr>
    </w:p>
    <w:p w14:paraId="60FDB3AA" w14:textId="77777777" w:rsidR="0046330C" w:rsidRDefault="0046330C" w:rsidP="001D4F35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The intention of Council’s investment strategy is to meet Council's financial obligations in a timely manner and to generate earnings within prudential guidelines.</w:t>
      </w:r>
    </w:p>
    <w:p w14:paraId="7FE25D4A" w14:textId="77777777" w:rsidR="001D4F35" w:rsidRPr="00F71613" w:rsidRDefault="001D4F35" w:rsidP="00F71613">
      <w:pPr>
        <w:pStyle w:val="Default"/>
      </w:pPr>
    </w:p>
    <w:p w14:paraId="2A21EC9A" w14:textId="77777777" w:rsidR="0046330C" w:rsidRPr="00F71613" w:rsidRDefault="0046330C" w:rsidP="00F71613">
      <w:pPr>
        <w:pStyle w:val="Pa3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Providing approval is given, investments may include:</w:t>
      </w:r>
    </w:p>
    <w:p w14:paraId="727E8837" w14:textId="21A012D1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(a)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surplus cash invested on the short</w:t>
      </w:r>
      <w:r w:rsidR="001D4F35" w:rsidRPr="001D4F35">
        <w:rPr>
          <w:rFonts w:ascii="Arial" w:hAnsi="Arial"/>
          <w:sz w:val="20"/>
        </w:rPr>
        <w:t>-</w:t>
      </w:r>
      <w:r w:rsidR="0046330C" w:rsidRPr="001D4F35">
        <w:rPr>
          <w:rFonts w:ascii="Arial" w:hAnsi="Arial"/>
          <w:sz w:val="20"/>
        </w:rPr>
        <w:t>term money market with approved counterparties</w:t>
      </w:r>
    </w:p>
    <w:p w14:paraId="7B3C8FA0" w14:textId="14FE915A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(b)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surplus cash held over in the bank account</w:t>
      </w:r>
    </w:p>
    <w:p w14:paraId="5D5EF1D2" w14:textId="051AF0BB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(c)</w:t>
      </w:r>
      <w:r w:rsidRPr="001D4F35">
        <w:rPr>
          <w:rFonts w:ascii="Arial" w:hAnsi="Arial"/>
          <w:sz w:val="20"/>
        </w:rPr>
        <w:tab/>
      </w:r>
      <w:r w:rsidR="00D9363F" w:rsidRPr="001D4F35">
        <w:rPr>
          <w:rFonts w:ascii="Arial" w:hAnsi="Arial"/>
          <w:sz w:val="20"/>
        </w:rPr>
        <w:t xml:space="preserve">funds placed </w:t>
      </w:r>
      <w:r w:rsidR="0046330C" w:rsidRPr="001D4F35">
        <w:rPr>
          <w:rFonts w:ascii="Arial" w:hAnsi="Arial"/>
          <w:sz w:val="20"/>
        </w:rPr>
        <w:t>strategically in the form of shares or loans to approved organisations, including subsidiary or related entities or</w:t>
      </w:r>
    </w:p>
    <w:p w14:paraId="1E6FF981" w14:textId="77777777" w:rsidR="0046330C" w:rsidRDefault="0086523D" w:rsidP="001D4F35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(d)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other investments that may from time to time be included under this definition.</w:t>
      </w:r>
    </w:p>
    <w:p w14:paraId="48C39923" w14:textId="77777777" w:rsidR="001D4F35" w:rsidRPr="00F71613" w:rsidRDefault="001D4F35" w:rsidP="00F71613">
      <w:pPr>
        <w:pStyle w:val="Default"/>
      </w:pPr>
    </w:p>
    <w:p w14:paraId="12D6B44D" w14:textId="77777777" w:rsidR="0046330C" w:rsidRPr="00F71613" w:rsidRDefault="0086523D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5.</w:t>
      </w:r>
      <w:r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Investment Objectives and Expectations</w:t>
      </w:r>
    </w:p>
    <w:p w14:paraId="51CFA69E" w14:textId="77777777" w:rsidR="001D4F35" w:rsidRDefault="001D4F35" w:rsidP="00B53B76">
      <w:pPr>
        <w:pStyle w:val="Default"/>
      </w:pPr>
    </w:p>
    <w:p w14:paraId="2637E187" w14:textId="77777777" w:rsidR="0046330C" w:rsidRPr="001D4F35" w:rsidRDefault="0046330C" w:rsidP="00F71613">
      <w:pPr>
        <w:pStyle w:val="Heading4"/>
        <w:tabs>
          <w:tab w:val="clear" w:pos="284"/>
        </w:tabs>
        <w:spacing w:line="240" w:lineRule="auto"/>
        <w:ind w:left="720"/>
      </w:pPr>
      <w:r w:rsidRPr="001D4F35">
        <w:t>Investment Objectives</w:t>
      </w:r>
    </w:p>
    <w:p w14:paraId="48D3C19F" w14:textId="7591F0E6" w:rsidR="0046330C" w:rsidRPr="001D4F35" w:rsidRDefault="0046330C" w:rsidP="00F71613">
      <w:pPr>
        <w:pStyle w:val="Pa1"/>
        <w:spacing w:before="0" w:line="240" w:lineRule="auto"/>
        <w:ind w:left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Investments are undertaken with the objective of achieving a commercially acceptable return within approved risk parameters. In the case of short</w:t>
      </w:r>
      <w:r w:rsidR="001D4F35" w:rsidRPr="001D4F35">
        <w:rPr>
          <w:rFonts w:ascii="Arial" w:hAnsi="Arial"/>
          <w:sz w:val="20"/>
        </w:rPr>
        <w:t>-</w:t>
      </w:r>
      <w:r w:rsidRPr="001D4F35">
        <w:rPr>
          <w:rFonts w:ascii="Arial" w:hAnsi="Arial"/>
          <w:sz w:val="20"/>
        </w:rPr>
        <w:t>term cash investments, the funds are placed on deposit until required by Council to meet outgoings.</w:t>
      </w:r>
    </w:p>
    <w:p w14:paraId="7EB7D8D5" w14:textId="77777777" w:rsidR="001D4F35" w:rsidRDefault="001D4F35" w:rsidP="00B53B76">
      <w:pPr>
        <w:pStyle w:val="Default"/>
      </w:pPr>
      <w:bookmarkStart w:id="1" w:name="_GoBack"/>
    </w:p>
    <w:bookmarkEnd w:id="1"/>
    <w:p w14:paraId="6E066F0B" w14:textId="77777777" w:rsidR="0046330C" w:rsidRPr="001D4F35" w:rsidRDefault="0046330C" w:rsidP="00F71613">
      <w:pPr>
        <w:pStyle w:val="Heading4"/>
        <w:tabs>
          <w:tab w:val="clear" w:pos="284"/>
        </w:tabs>
        <w:spacing w:line="240" w:lineRule="auto"/>
        <w:ind w:left="720"/>
      </w:pPr>
      <w:r w:rsidRPr="001D4F35">
        <w:t>Investment Expectations</w:t>
      </w:r>
    </w:p>
    <w:p w14:paraId="07DEE905" w14:textId="7AD3A5E1" w:rsidR="0046330C" w:rsidRPr="001D4F35" w:rsidRDefault="0046330C" w:rsidP="00F71613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>For short</w:t>
      </w:r>
      <w:r w:rsidR="001D4F35" w:rsidRPr="001D4F35">
        <w:rPr>
          <w:rFonts w:ascii="Arial" w:hAnsi="Arial"/>
        </w:rPr>
        <w:t>-</w:t>
      </w:r>
      <w:r w:rsidRPr="001D4F35">
        <w:rPr>
          <w:rFonts w:ascii="Arial" w:hAnsi="Arial"/>
        </w:rPr>
        <w:t>term investments, investments should be:</w:t>
      </w:r>
    </w:p>
    <w:p w14:paraId="0D9E0736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(a)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undertaken in accordance with the Financial Risk Management Framework</w:t>
      </w:r>
    </w:p>
    <w:p w14:paraId="02876469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(b)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made with suitable credit worthy financial counterparties</w:t>
      </w:r>
    </w:p>
    <w:p w14:paraId="1F23AFB1" w14:textId="248FB289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(c)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generall</w:t>
      </w:r>
      <w:r w:rsidR="00CD6C8E" w:rsidRPr="001D4F35">
        <w:rPr>
          <w:rFonts w:ascii="Arial" w:hAnsi="Arial"/>
          <w:sz w:val="20"/>
        </w:rPr>
        <w:t>y short</w:t>
      </w:r>
      <w:r w:rsidR="001D4F35" w:rsidRPr="001D4F35">
        <w:rPr>
          <w:rFonts w:ascii="Arial" w:hAnsi="Arial"/>
          <w:sz w:val="20"/>
        </w:rPr>
        <w:t>-</w:t>
      </w:r>
      <w:r w:rsidR="00CD6C8E" w:rsidRPr="001D4F35">
        <w:rPr>
          <w:rFonts w:ascii="Arial" w:hAnsi="Arial"/>
          <w:sz w:val="20"/>
        </w:rPr>
        <w:t>term (up to six months)</w:t>
      </w:r>
      <w:r w:rsidR="0046330C" w:rsidRPr="001D4F35">
        <w:rPr>
          <w:rFonts w:ascii="Arial" w:hAnsi="Arial"/>
          <w:sz w:val="20"/>
        </w:rPr>
        <w:t xml:space="preserve"> </w:t>
      </w:r>
      <w:r w:rsidR="00D90FF5" w:rsidRPr="001D4F35">
        <w:rPr>
          <w:rFonts w:ascii="Arial" w:hAnsi="Arial"/>
          <w:sz w:val="20"/>
        </w:rPr>
        <w:t xml:space="preserve">in order to </w:t>
      </w:r>
      <w:r w:rsidR="0046330C" w:rsidRPr="001D4F35">
        <w:rPr>
          <w:rFonts w:ascii="Arial" w:hAnsi="Arial"/>
          <w:sz w:val="20"/>
        </w:rPr>
        <w:t>meet outgoings and</w:t>
      </w:r>
    </w:p>
    <w:p w14:paraId="3717DED6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(d)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able to provide a commercially acceptable return.</w:t>
      </w:r>
    </w:p>
    <w:p w14:paraId="29CC97CD" w14:textId="77777777" w:rsidR="0046330C" w:rsidRPr="001D4F35" w:rsidRDefault="0046330C" w:rsidP="00F71613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>For long term investments (including infrastructure investments), investments should be:</w:t>
      </w:r>
    </w:p>
    <w:p w14:paraId="28E86812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(a)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assessed as financially affordable</w:t>
      </w:r>
    </w:p>
    <w:p w14:paraId="76ED30C9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(b)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undertaken to generate overall benefits for the community and</w:t>
      </w:r>
    </w:p>
    <w:p w14:paraId="04757C58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(c)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provided on the basis that they represent best value for money outcomes.</w:t>
      </w:r>
    </w:p>
    <w:p w14:paraId="2A2FF00C" w14:textId="77777777" w:rsidR="0046330C" w:rsidRPr="00F71613" w:rsidRDefault="0086523D" w:rsidP="00F71613">
      <w:pPr>
        <w:pStyle w:val="Heading2"/>
        <w:pageBreakBefore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lastRenderedPageBreak/>
        <w:t>6.</w:t>
      </w:r>
      <w:r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Procedures</w:t>
      </w:r>
    </w:p>
    <w:p w14:paraId="0C18B90E" w14:textId="77777777" w:rsidR="001D4F35" w:rsidRDefault="001D4F35" w:rsidP="001D4F35">
      <w:pPr>
        <w:pStyle w:val="Default"/>
        <w:ind w:left="720"/>
        <w:jc w:val="both"/>
        <w:rPr>
          <w:rFonts w:ascii="Arial" w:hAnsi="Arial"/>
        </w:rPr>
      </w:pPr>
    </w:p>
    <w:p w14:paraId="2B800682" w14:textId="77777777" w:rsidR="0046330C" w:rsidRPr="001D4F35" w:rsidRDefault="0046330C" w:rsidP="00F71613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 xml:space="preserve">Procedures </w:t>
      </w:r>
      <w:r w:rsidR="005B6D1E" w:rsidRPr="001D4F35">
        <w:rPr>
          <w:rFonts w:ascii="Arial" w:hAnsi="Arial"/>
        </w:rPr>
        <w:t xml:space="preserve">and standards </w:t>
      </w:r>
      <w:r w:rsidRPr="001D4F35">
        <w:rPr>
          <w:rFonts w:ascii="Arial" w:hAnsi="Arial"/>
        </w:rPr>
        <w:t>for achieving the goals and expectations related to the investments stated in this policy include:</w:t>
      </w:r>
    </w:p>
    <w:p w14:paraId="69867A72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(a)</w:t>
      </w:r>
      <w:r w:rsidRPr="001D4F35">
        <w:rPr>
          <w:rFonts w:ascii="Arial" w:hAnsi="Arial"/>
          <w:sz w:val="20"/>
        </w:rPr>
        <w:tab/>
      </w:r>
      <w:r w:rsidR="0046330C" w:rsidRPr="001D4F35">
        <w:rPr>
          <w:rFonts w:ascii="Arial" w:hAnsi="Arial"/>
          <w:sz w:val="20"/>
        </w:rPr>
        <w:t>treasury procedures</w:t>
      </w:r>
    </w:p>
    <w:p w14:paraId="671463B8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(b)</w:t>
      </w:r>
      <w:r w:rsidRPr="001D4F35">
        <w:rPr>
          <w:rFonts w:ascii="Arial" w:hAnsi="Arial"/>
          <w:sz w:val="20"/>
        </w:rPr>
        <w:tab/>
      </w:r>
      <w:r w:rsidR="003866EB" w:rsidRPr="001D4F35">
        <w:rPr>
          <w:rFonts w:ascii="Arial" w:hAnsi="Arial"/>
          <w:sz w:val="20"/>
        </w:rPr>
        <w:t>asset</w:t>
      </w:r>
      <w:r w:rsidR="0046330C" w:rsidRPr="001D4F35">
        <w:rPr>
          <w:rFonts w:ascii="Arial" w:hAnsi="Arial"/>
          <w:sz w:val="20"/>
        </w:rPr>
        <w:t xml:space="preserve"> management procedures and</w:t>
      </w:r>
    </w:p>
    <w:p w14:paraId="144270CC" w14:textId="77777777" w:rsidR="0046330C" w:rsidRPr="00F71613" w:rsidRDefault="0086523D" w:rsidP="00F71613">
      <w:pPr>
        <w:pStyle w:val="Pa2"/>
        <w:spacing w:before="0" w:line="240" w:lineRule="auto"/>
        <w:ind w:left="1440" w:hanging="720"/>
        <w:jc w:val="both"/>
        <w:rPr>
          <w:rFonts w:ascii="Arial" w:hAnsi="Arial"/>
          <w:sz w:val="20"/>
        </w:rPr>
      </w:pPr>
      <w:r w:rsidRPr="001D4F35">
        <w:rPr>
          <w:rFonts w:ascii="Arial" w:hAnsi="Arial"/>
          <w:sz w:val="20"/>
        </w:rPr>
        <w:t>(c)</w:t>
      </w:r>
      <w:r w:rsidRPr="001D4F35">
        <w:rPr>
          <w:rFonts w:ascii="Arial" w:hAnsi="Arial"/>
          <w:sz w:val="20"/>
        </w:rPr>
        <w:tab/>
      </w:r>
      <w:r w:rsidR="003866EB" w:rsidRPr="001D4F35">
        <w:rPr>
          <w:rFonts w:ascii="Arial" w:hAnsi="Arial"/>
          <w:sz w:val="20"/>
        </w:rPr>
        <w:t>accounting standards</w:t>
      </w:r>
    </w:p>
    <w:p w14:paraId="53EE0B9D" w14:textId="77777777" w:rsidR="001D4F35" w:rsidRDefault="001D4F35" w:rsidP="001D4F35">
      <w:pPr>
        <w:pStyle w:val="Default"/>
        <w:ind w:left="720"/>
        <w:jc w:val="both"/>
        <w:rPr>
          <w:rFonts w:ascii="Arial" w:hAnsi="Arial"/>
        </w:rPr>
      </w:pPr>
    </w:p>
    <w:p w14:paraId="6E406724" w14:textId="77777777" w:rsidR="0046330C" w:rsidRDefault="00D94D27" w:rsidP="001D4F35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>T</w:t>
      </w:r>
      <w:r w:rsidR="0046330C" w:rsidRPr="001D4F35">
        <w:rPr>
          <w:rFonts w:ascii="Arial" w:hAnsi="Arial"/>
        </w:rPr>
        <w:t xml:space="preserve">he Corporate Treasurer and the treasury area </w:t>
      </w:r>
      <w:r w:rsidR="005B6D1E" w:rsidRPr="001D4F35">
        <w:rPr>
          <w:rFonts w:ascii="Arial" w:hAnsi="Arial"/>
        </w:rPr>
        <w:t xml:space="preserve">manage </w:t>
      </w:r>
      <w:r w:rsidRPr="001D4F35">
        <w:rPr>
          <w:rFonts w:ascii="Arial" w:hAnsi="Arial"/>
        </w:rPr>
        <w:t>short term investments for Council and follow the various treasury procedures to do so</w:t>
      </w:r>
      <w:r w:rsidR="005B6D1E" w:rsidRPr="001D4F35">
        <w:rPr>
          <w:rFonts w:ascii="Arial" w:hAnsi="Arial"/>
        </w:rPr>
        <w:t>.</w:t>
      </w:r>
      <w:r w:rsidR="0046330C" w:rsidRPr="001D4F35">
        <w:rPr>
          <w:rFonts w:ascii="Arial" w:hAnsi="Arial"/>
        </w:rPr>
        <w:t xml:space="preserve"> Any breach of the Financial Risk Management Framework is reported to the </w:t>
      </w:r>
      <w:r w:rsidR="00B94F9B" w:rsidRPr="001D4F35">
        <w:rPr>
          <w:rFonts w:ascii="Arial" w:hAnsi="Arial"/>
        </w:rPr>
        <w:t>Chief Internal Auditor and Chief Executive Officer</w:t>
      </w:r>
      <w:r w:rsidR="0046330C" w:rsidRPr="001D4F35">
        <w:rPr>
          <w:rFonts w:ascii="Arial" w:hAnsi="Arial"/>
        </w:rPr>
        <w:t xml:space="preserve"> as soon as possible, where necessary action is taken.</w:t>
      </w:r>
    </w:p>
    <w:p w14:paraId="37C1B981" w14:textId="77777777" w:rsidR="001D4F35" w:rsidRPr="001D4F35" w:rsidRDefault="001D4F35" w:rsidP="00F71613">
      <w:pPr>
        <w:pStyle w:val="Default"/>
        <w:ind w:left="720"/>
        <w:jc w:val="both"/>
        <w:rPr>
          <w:rFonts w:ascii="Arial" w:hAnsi="Arial"/>
        </w:rPr>
      </w:pPr>
    </w:p>
    <w:p w14:paraId="1DF65338" w14:textId="77777777" w:rsidR="001D4F35" w:rsidRPr="00F71613" w:rsidRDefault="0086523D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7.</w:t>
      </w:r>
      <w:r w:rsidRPr="00F71613">
        <w:rPr>
          <w:rFonts w:cs="Arial"/>
          <w:caps/>
        </w:rPr>
        <w:tab/>
      </w:r>
      <w:r w:rsidR="001D4F35" w:rsidRPr="00F71613">
        <w:rPr>
          <w:rFonts w:cs="Arial"/>
          <w:caps/>
        </w:rPr>
        <w:t>Authority</w:t>
      </w:r>
    </w:p>
    <w:p w14:paraId="0DE35E84" w14:textId="5DEBBF94" w:rsidR="001D4F35" w:rsidRDefault="001D4F35" w:rsidP="001D4F35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>Council, 2</w:t>
      </w:r>
      <w:r w:rsidR="005E110F">
        <w:rPr>
          <w:rFonts w:ascii="Arial" w:hAnsi="Arial"/>
        </w:rPr>
        <w:t>5</w:t>
      </w:r>
      <w:r w:rsidRPr="001D4F35">
        <w:rPr>
          <w:rFonts w:ascii="Arial" w:hAnsi="Arial"/>
        </w:rPr>
        <w:t xml:space="preserve"> June 2020.</w:t>
      </w:r>
    </w:p>
    <w:p w14:paraId="66ADB941" w14:textId="77777777" w:rsidR="001D4F35" w:rsidRPr="00F71613" w:rsidRDefault="001D4F35" w:rsidP="00F71613">
      <w:pPr>
        <w:pStyle w:val="Default"/>
        <w:ind w:left="720"/>
        <w:jc w:val="both"/>
      </w:pPr>
    </w:p>
    <w:p w14:paraId="31A8E182" w14:textId="77777777" w:rsidR="0046330C" w:rsidRPr="00F71613" w:rsidRDefault="001D4F35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8.</w:t>
      </w:r>
      <w:r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Policy Owner</w:t>
      </w:r>
    </w:p>
    <w:p w14:paraId="36E00B79" w14:textId="77777777" w:rsidR="0046330C" w:rsidRDefault="0046330C" w:rsidP="001D4F35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 xml:space="preserve">Chief Financial Officer, </w:t>
      </w:r>
      <w:r w:rsidR="001D4F35" w:rsidRPr="001D4F35">
        <w:rPr>
          <w:rFonts w:ascii="Arial" w:hAnsi="Arial"/>
        </w:rPr>
        <w:t xml:space="preserve">Corporate Finance, </w:t>
      </w:r>
      <w:r w:rsidRPr="001D4F35">
        <w:rPr>
          <w:rFonts w:ascii="Arial" w:hAnsi="Arial"/>
        </w:rPr>
        <w:t xml:space="preserve">Organisational Services </w:t>
      </w:r>
    </w:p>
    <w:p w14:paraId="4C24F33A" w14:textId="77777777" w:rsidR="001D4F35" w:rsidRPr="001D4F35" w:rsidRDefault="001D4F35" w:rsidP="00F71613">
      <w:pPr>
        <w:pStyle w:val="Default"/>
        <w:ind w:left="720"/>
        <w:jc w:val="both"/>
        <w:rPr>
          <w:rFonts w:ascii="Arial" w:hAnsi="Arial"/>
        </w:rPr>
      </w:pPr>
    </w:p>
    <w:p w14:paraId="4093E2D8" w14:textId="37C0E6BF" w:rsidR="0046330C" w:rsidRPr="00F71613" w:rsidRDefault="001D4F35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9</w:t>
      </w:r>
      <w:r w:rsidR="0086523D" w:rsidRPr="00F71613">
        <w:rPr>
          <w:rFonts w:cs="Arial"/>
          <w:caps/>
        </w:rPr>
        <w:t>.</w:t>
      </w:r>
      <w:r w:rsidR="0086523D"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Further Assistance</w:t>
      </w:r>
    </w:p>
    <w:p w14:paraId="2FDDDD1B" w14:textId="7E60F0F8" w:rsidR="0046330C" w:rsidRDefault="0046330C" w:rsidP="001D4F35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>For further information, please refer to the “About Council - Publications” page on Council’s website at</w:t>
      </w:r>
      <w:r w:rsidR="00FE26A4" w:rsidRPr="001D4F35">
        <w:rPr>
          <w:rFonts w:ascii="Arial" w:hAnsi="Arial"/>
        </w:rPr>
        <w:t>:</w:t>
      </w:r>
      <w:r w:rsidR="001D4F35" w:rsidRPr="001D4F35">
        <w:rPr>
          <w:rFonts w:ascii="Arial" w:hAnsi="Arial"/>
        </w:rPr>
        <w:t xml:space="preserve"> </w:t>
      </w:r>
      <w:hyperlink r:id="rId12" w:history="1">
        <w:r w:rsidR="00053D9B" w:rsidRPr="00F71613">
          <w:rPr>
            <w:rFonts w:ascii="Arial" w:hAnsi="Arial"/>
          </w:rPr>
          <w:t>http://www.brisbane.qld.gov.au/about-council/council-information-rates/news-publications/</w:t>
        </w:r>
      </w:hyperlink>
    </w:p>
    <w:p w14:paraId="6D782AF9" w14:textId="77777777" w:rsidR="001D4F35" w:rsidRPr="001D4F35" w:rsidRDefault="001D4F35" w:rsidP="00F71613">
      <w:pPr>
        <w:pStyle w:val="Default"/>
        <w:ind w:left="720"/>
        <w:jc w:val="both"/>
        <w:rPr>
          <w:rFonts w:ascii="Arial" w:hAnsi="Arial"/>
        </w:rPr>
      </w:pPr>
    </w:p>
    <w:p w14:paraId="36158E50" w14:textId="68095426" w:rsidR="0046330C" w:rsidRPr="00F71613" w:rsidRDefault="001D4F35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10</w:t>
      </w:r>
      <w:r w:rsidR="0086523D" w:rsidRPr="00F71613">
        <w:rPr>
          <w:rFonts w:cs="Arial"/>
          <w:caps/>
        </w:rPr>
        <w:t>.</w:t>
      </w:r>
      <w:r w:rsidR="0086523D"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Related Information</w:t>
      </w:r>
    </w:p>
    <w:p w14:paraId="740176A4" w14:textId="77777777" w:rsidR="0046330C" w:rsidRDefault="0046330C" w:rsidP="001D4F35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>This policy is Council's investment policy. There are various administrative policies and arrangements that make up the total Council response to investment management.</w:t>
      </w:r>
    </w:p>
    <w:p w14:paraId="77315AC6" w14:textId="77777777" w:rsidR="001D4F35" w:rsidRPr="001D4F35" w:rsidRDefault="001D4F35" w:rsidP="00F71613">
      <w:pPr>
        <w:pStyle w:val="Default"/>
        <w:ind w:left="720"/>
        <w:jc w:val="both"/>
        <w:rPr>
          <w:rFonts w:ascii="Arial" w:hAnsi="Arial"/>
        </w:rPr>
      </w:pPr>
    </w:p>
    <w:p w14:paraId="3B745F08" w14:textId="48EE31F6" w:rsidR="0046330C" w:rsidRPr="00F71613" w:rsidRDefault="0086523D" w:rsidP="00F71613">
      <w:pPr>
        <w:pStyle w:val="Heading2"/>
        <w:tabs>
          <w:tab w:val="clear" w:pos="284"/>
        </w:tabs>
        <w:spacing w:line="240" w:lineRule="auto"/>
        <w:rPr>
          <w:rFonts w:cs="Arial"/>
          <w:caps/>
        </w:rPr>
      </w:pPr>
      <w:r w:rsidRPr="00F71613">
        <w:rPr>
          <w:rFonts w:cs="Arial"/>
          <w:caps/>
        </w:rPr>
        <w:t>1</w:t>
      </w:r>
      <w:r w:rsidR="001D4F35" w:rsidRPr="00F71613">
        <w:rPr>
          <w:rFonts w:cs="Arial"/>
          <w:caps/>
        </w:rPr>
        <w:t>1</w:t>
      </w:r>
      <w:r w:rsidRPr="00F71613">
        <w:rPr>
          <w:rFonts w:cs="Arial"/>
          <w:caps/>
        </w:rPr>
        <w:t>.</w:t>
      </w:r>
      <w:r w:rsidRPr="00F71613">
        <w:rPr>
          <w:rFonts w:cs="Arial"/>
          <w:caps/>
        </w:rPr>
        <w:tab/>
      </w:r>
      <w:r w:rsidR="0046330C" w:rsidRPr="00F71613">
        <w:rPr>
          <w:rFonts w:cs="Arial"/>
          <w:caps/>
        </w:rPr>
        <w:t>Review Date</w:t>
      </w:r>
    </w:p>
    <w:p w14:paraId="7A6E8E8B" w14:textId="319DB9CD" w:rsidR="001314EF" w:rsidRPr="001D4F35" w:rsidRDefault="001D4F35" w:rsidP="00F71613">
      <w:pPr>
        <w:pStyle w:val="Default"/>
        <w:ind w:left="720"/>
        <w:jc w:val="both"/>
        <w:rPr>
          <w:rFonts w:ascii="Arial" w:hAnsi="Arial"/>
        </w:rPr>
      </w:pPr>
      <w:r w:rsidRPr="001D4F35">
        <w:rPr>
          <w:rFonts w:ascii="Arial" w:hAnsi="Arial"/>
        </w:rPr>
        <w:t>June 2021</w:t>
      </w:r>
    </w:p>
    <w:sectPr w:rsidR="001314EF" w:rsidRPr="001D4F35" w:rsidSect="00791B40">
      <w:headerReference w:type="default" r:id="rId13"/>
      <w:pgSz w:w="11906" w:h="16838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08C7" w14:textId="77777777" w:rsidR="000D695B" w:rsidRDefault="000D695B">
      <w:pPr>
        <w:spacing w:after="0" w:line="240" w:lineRule="auto"/>
      </w:pPr>
      <w:r>
        <w:separator/>
      </w:r>
    </w:p>
  </w:endnote>
  <w:endnote w:type="continuationSeparator" w:id="0">
    <w:p w14:paraId="4AE59B66" w14:textId="77777777" w:rsidR="000D695B" w:rsidRDefault="000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-SemiboldItalic">
    <w:altName w:val="Bemb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B151A" w14:textId="77777777" w:rsidR="000D695B" w:rsidRDefault="000D695B">
      <w:pPr>
        <w:spacing w:after="0" w:line="240" w:lineRule="auto"/>
      </w:pPr>
      <w:r>
        <w:separator/>
      </w:r>
    </w:p>
  </w:footnote>
  <w:footnote w:type="continuationSeparator" w:id="0">
    <w:p w14:paraId="5E91BD47" w14:textId="77777777" w:rsidR="000D695B" w:rsidRDefault="000D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CD77" w14:textId="77777777" w:rsidR="00A36952" w:rsidRPr="00581646" w:rsidRDefault="00A36952" w:rsidP="00581646">
    <w:pPr>
      <w:pStyle w:val="Header"/>
      <w:jc w:val="center"/>
      <w:rPr>
        <w:rFonts w:ascii="Arial" w:hAnsi="Arial" w:cs="Arial"/>
        <w:sz w:val="20"/>
        <w:szCs w:val="20"/>
      </w:rPr>
    </w:pPr>
    <w:r w:rsidRPr="00581646">
      <w:rPr>
        <w:rFonts w:ascii="Arial" w:hAnsi="Arial" w:cs="Arial"/>
        <w:sz w:val="20"/>
        <w:szCs w:val="20"/>
      </w:rPr>
      <w:t>Investment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CF7"/>
    <w:multiLevelType w:val="hybridMultilevel"/>
    <w:tmpl w:val="2DEC36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7973"/>
    <w:multiLevelType w:val="hybridMultilevel"/>
    <w:tmpl w:val="226047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4189"/>
    <w:multiLevelType w:val="hybridMultilevel"/>
    <w:tmpl w:val="D8829E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095D"/>
    <w:multiLevelType w:val="hybridMultilevel"/>
    <w:tmpl w:val="C4CAEC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44C40"/>
    <w:multiLevelType w:val="hybridMultilevel"/>
    <w:tmpl w:val="059A45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0C"/>
    <w:rsid w:val="0000084F"/>
    <w:rsid w:val="00000E7E"/>
    <w:rsid w:val="000017FA"/>
    <w:rsid w:val="00006766"/>
    <w:rsid w:val="00013B12"/>
    <w:rsid w:val="00013DCF"/>
    <w:rsid w:val="00014D83"/>
    <w:rsid w:val="00030048"/>
    <w:rsid w:val="00033C9A"/>
    <w:rsid w:val="00035BAA"/>
    <w:rsid w:val="00037B4E"/>
    <w:rsid w:val="00037F4A"/>
    <w:rsid w:val="0004111F"/>
    <w:rsid w:val="000445DD"/>
    <w:rsid w:val="00046516"/>
    <w:rsid w:val="0004723D"/>
    <w:rsid w:val="00052224"/>
    <w:rsid w:val="00052EB7"/>
    <w:rsid w:val="00053D9B"/>
    <w:rsid w:val="00055058"/>
    <w:rsid w:val="00056B84"/>
    <w:rsid w:val="00060964"/>
    <w:rsid w:val="0006331D"/>
    <w:rsid w:val="00063B95"/>
    <w:rsid w:val="00066AAC"/>
    <w:rsid w:val="0007075F"/>
    <w:rsid w:val="000717E9"/>
    <w:rsid w:val="00071E8E"/>
    <w:rsid w:val="00072701"/>
    <w:rsid w:val="0008244E"/>
    <w:rsid w:val="00083F61"/>
    <w:rsid w:val="00084847"/>
    <w:rsid w:val="00084A60"/>
    <w:rsid w:val="00087DBF"/>
    <w:rsid w:val="0009426E"/>
    <w:rsid w:val="00094696"/>
    <w:rsid w:val="0009764D"/>
    <w:rsid w:val="000A0DD3"/>
    <w:rsid w:val="000A67A7"/>
    <w:rsid w:val="000B37F8"/>
    <w:rsid w:val="000B44DB"/>
    <w:rsid w:val="000C0ABF"/>
    <w:rsid w:val="000C219A"/>
    <w:rsid w:val="000C410B"/>
    <w:rsid w:val="000D0815"/>
    <w:rsid w:val="000D08CD"/>
    <w:rsid w:val="000D1FD7"/>
    <w:rsid w:val="000D2109"/>
    <w:rsid w:val="000D3784"/>
    <w:rsid w:val="000D43C5"/>
    <w:rsid w:val="000D695B"/>
    <w:rsid w:val="000E1C82"/>
    <w:rsid w:val="000E2CB1"/>
    <w:rsid w:val="000E2D35"/>
    <w:rsid w:val="000E390A"/>
    <w:rsid w:val="000E40A2"/>
    <w:rsid w:val="000E5CFA"/>
    <w:rsid w:val="000E6E3C"/>
    <w:rsid w:val="000F047E"/>
    <w:rsid w:val="000F0CAC"/>
    <w:rsid w:val="000F3280"/>
    <w:rsid w:val="000F40CF"/>
    <w:rsid w:val="000F44ED"/>
    <w:rsid w:val="000F54C5"/>
    <w:rsid w:val="0010071B"/>
    <w:rsid w:val="00101732"/>
    <w:rsid w:val="00101787"/>
    <w:rsid w:val="001026C6"/>
    <w:rsid w:val="00106FC3"/>
    <w:rsid w:val="0010715B"/>
    <w:rsid w:val="00110A56"/>
    <w:rsid w:val="00113830"/>
    <w:rsid w:val="00114FAD"/>
    <w:rsid w:val="001153B1"/>
    <w:rsid w:val="001177CB"/>
    <w:rsid w:val="0012169E"/>
    <w:rsid w:val="00121C23"/>
    <w:rsid w:val="0012249D"/>
    <w:rsid w:val="00123036"/>
    <w:rsid w:val="00126773"/>
    <w:rsid w:val="00130A0B"/>
    <w:rsid w:val="00130BF1"/>
    <w:rsid w:val="001314EF"/>
    <w:rsid w:val="00132D0C"/>
    <w:rsid w:val="0013419A"/>
    <w:rsid w:val="00135A45"/>
    <w:rsid w:val="001367F7"/>
    <w:rsid w:val="00141D29"/>
    <w:rsid w:val="001453B6"/>
    <w:rsid w:val="00145650"/>
    <w:rsid w:val="00145E26"/>
    <w:rsid w:val="00145FC6"/>
    <w:rsid w:val="00147454"/>
    <w:rsid w:val="001474C9"/>
    <w:rsid w:val="0015064A"/>
    <w:rsid w:val="00150BCC"/>
    <w:rsid w:val="001524DA"/>
    <w:rsid w:val="00152BFD"/>
    <w:rsid w:val="001546D9"/>
    <w:rsid w:val="0015556C"/>
    <w:rsid w:val="00160964"/>
    <w:rsid w:val="001609F0"/>
    <w:rsid w:val="00163EC0"/>
    <w:rsid w:val="001656C1"/>
    <w:rsid w:val="001701F8"/>
    <w:rsid w:val="0017169F"/>
    <w:rsid w:val="00173659"/>
    <w:rsid w:val="001741B8"/>
    <w:rsid w:val="00175A86"/>
    <w:rsid w:val="00181086"/>
    <w:rsid w:val="001825D7"/>
    <w:rsid w:val="001850CE"/>
    <w:rsid w:val="00185B66"/>
    <w:rsid w:val="0018764D"/>
    <w:rsid w:val="00187B19"/>
    <w:rsid w:val="00193BA3"/>
    <w:rsid w:val="0019417E"/>
    <w:rsid w:val="001964CB"/>
    <w:rsid w:val="00197F8A"/>
    <w:rsid w:val="00197FD4"/>
    <w:rsid w:val="00197FE6"/>
    <w:rsid w:val="001A0D3B"/>
    <w:rsid w:val="001A11F9"/>
    <w:rsid w:val="001A212B"/>
    <w:rsid w:val="001A2667"/>
    <w:rsid w:val="001A30CE"/>
    <w:rsid w:val="001A5515"/>
    <w:rsid w:val="001A57C6"/>
    <w:rsid w:val="001B1A6A"/>
    <w:rsid w:val="001B2624"/>
    <w:rsid w:val="001B2C96"/>
    <w:rsid w:val="001B3FD7"/>
    <w:rsid w:val="001B4DDB"/>
    <w:rsid w:val="001B62CF"/>
    <w:rsid w:val="001C1DCD"/>
    <w:rsid w:val="001C2594"/>
    <w:rsid w:val="001C3FB2"/>
    <w:rsid w:val="001C4E74"/>
    <w:rsid w:val="001C6396"/>
    <w:rsid w:val="001C7758"/>
    <w:rsid w:val="001C7AE8"/>
    <w:rsid w:val="001C7AFF"/>
    <w:rsid w:val="001D2609"/>
    <w:rsid w:val="001D2FA2"/>
    <w:rsid w:val="001D4F35"/>
    <w:rsid w:val="001D54AE"/>
    <w:rsid w:val="001E3241"/>
    <w:rsid w:val="001F316D"/>
    <w:rsid w:val="00201D56"/>
    <w:rsid w:val="00201DF3"/>
    <w:rsid w:val="00205E10"/>
    <w:rsid w:val="00206271"/>
    <w:rsid w:val="00213066"/>
    <w:rsid w:val="00213E54"/>
    <w:rsid w:val="00214BDB"/>
    <w:rsid w:val="002167AE"/>
    <w:rsid w:val="002168F0"/>
    <w:rsid w:val="00217347"/>
    <w:rsid w:val="00220C48"/>
    <w:rsid w:val="00220E4D"/>
    <w:rsid w:val="00221FC0"/>
    <w:rsid w:val="0022254E"/>
    <w:rsid w:val="00225FF4"/>
    <w:rsid w:val="00227601"/>
    <w:rsid w:val="00230A91"/>
    <w:rsid w:val="002310ED"/>
    <w:rsid w:val="002323D6"/>
    <w:rsid w:val="00234000"/>
    <w:rsid w:val="00236722"/>
    <w:rsid w:val="002418B1"/>
    <w:rsid w:val="00243D46"/>
    <w:rsid w:val="00244367"/>
    <w:rsid w:val="002512B6"/>
    <w:rsid w:val="00261151"/>
    <w:rsid w:val="0026252B"/>
    <w:rsid w:val="00262A4F"/>
    <w:rsid w:val="00266643"/>
    <w:rsid w:val="002700E2"/>
    <w:rsid w:val="00270D14"/>
    <w:rsid w:val="00271E3E"/>
    <w:rsid w:val="002754C5"/>
    <w:rsid w:val="00276140"/>
    <w:rsid w:val="00280392"/>
    <w:rsid w:val="00282A7B"/>
    <w:rsid w:val="002839FC"/>
    <w:rsid w:val="002843E0"/>
    <w:rsid w:val="0028443A"/>
    <w:rsid w:val="002850F7"/>
    <w:rsid w:val="002901CD"/>
    <w:rsid w:val="002916F4"/>
    <w:rsid w:val="00295278"/>
    <w:rsid w:val="002962C6"/>
    <w:rsid w:val="002970CA"/>
    <w:rsid w:val="00297C4F"/>
    <w:rsid w:val="002A338F"/>
    <w:rsid w:val="002A5FD4"/>
    <w:rsid w:val="002B4108"/>
    <w:rsid w:val="002B529D"/>
    <w:rsid w:val="002B5700"/>
    <w:rsid w:val="002C071D"/>
    <w:rsid w:val="002C1A3D"/>
    <w:rsid w:val="002C344B"/>
    <w:rsid w:val="002C60D0"/>
    <w:rsid w:val="002C6846"/>
    <w:rsid w:val="002C6D51"/>
    <w:rsid w:val="002D0E31"/>
    <w:rsid w:val="002D247F"/>
    <w:rsid w:val="002D31CB"/>
    <w:rsid w:val="002D3751"/>
    <w:rsid w:val="002D3FB8"/>
    <w:rsid w:val="002E0CC8"/>
    <w:rsid w:val="002E228C"/>
    <w:rsid w:val="002E5EEB"/>
    <w:rsid w:val="002F0043"/>
    <w:rsid w:val="002F0145"/>
    <w:rsid w:val="002F0BA6"/>
    <w:rsid w:val="002F1A23"/>
    <w:rsid w:val="002F251D"/>
    <w:rsid w:val="00300553"/>
    <w:rsid w:val="00305581"/>
    <w:rsid w:val="00306563"/>
    <w:rsid w:val="00306E03"/>
    <w:rsid w:val="003153E3"/>
    <w:rsid w:val="00316D2A"/>
    <w:rsid w:val="00321AC2"/>
    <w:rsid w:val="00330DF5"/>
    <w:rsid w:val="00332DF6"/>
    <w:rsid w:val="0033358C"/>
    <w:rsid w:val="003346F1"/>
    <w:rsid w:val="00337321"/>
    <w:rsid w:val="003377C4"/>
    <w:rsid w:val="00340232"/>
    <w:rsid w:val="00341744"/>
    <w:rsid w:val="00344CB0"/>
    <w:rsid w:val="00346E46"/>
    <w:rsid w:val="00350325"/>
    <w:rsid w:val="00356223"/>
    <w:rsid w:val="00356ED6"/>
    <w:rsid w:val="00357F97"/>
    <w:rsid w:val="003608F2"/>
    <w:rsid w:val="00363C26"/>
    <w:rsid w:val="00365633"/>
    <w:rsid w:val="0036661D"/>
    <w:rsid w:val="00367C91"/>
    <w:rsid w:val="00367FC1"/>
    <w:rsid w:val="003721C9"/>
    <w:rsid w:val="00372A92"/>
    <w:rsid w:val="003813F3"/>
    <w:rsid w:val="00382178"/>
    <w:rsid w:val="003831B2"/>
    <w:rsid w:val="00384EC5"/>
    <w:rsid w:val="00385289"/>
    <w:rsid w:val="00385E04"/>
    <w:rsid w:val="003866EB"/>
    <w:rsid w:val="0039149D"/>
    <w:rsid w:val="003939F9"/>
    <w:rsid w:val="0039742E"/>
    <w:rsid w:val="003A0A0D"/>
    <w:rsid w:val="003A1C84"/>
    <w:rsid w:val="003A1CE4"/>
    <w:rsid w:val="003A5F6E"/>
    <w:rsid w:val="003A7DA2"/>
    <w:rsid w:val="003B05CD"/>
    <w:rsid w:val="003B1EB1"/>
    <w:rsid w:val="003B2257"/>
    <w:rsid w:val="003B5621"/>
    <w:rsid w:val="003C6909"/>
    <w:rsid w:val="003D0415"/>
    <w:rsid w:val="003D2564"/>
    <w:rsid w:val="003E024D"/>
    <w:rsid w:val="003E2F70"/>
    <w:rsid w:val="003E580E"/>
    <w:rsid w:val="003E5B4D"/>
    <w:rsid w:val="003F0DF7"/>
    <w:rsid w:val="003F22A1"/>
    <w:rsid w:val="003F7451"/>
    <w:rsid w:val="004011AB"/>
    <w:rsid w:val="004023B1"/>
    <w:rsid w:val="0040274E"/>
    <w:rsid w:val="00403145"/>
    <w:rsid w:val="00403826"/>
    <w:rsid w:val="004045A8"/>
    <w:rsid w:val="00410089"/>
    <w:rsid w:val="0041093F"/>
    <w:rsid w:val="00412466"/>
    <w:rsid w:val="0041471F"/>
    <w:rsid w:val="00415022"/>
    <w:rsid w:val="004203C1"/>
    <w:rsid w:val="00422047"/>
    <w:rsid w:val="00422480"/>
    <w:rsid w:val="00423445"/>
    <w:rsid w:val="00423A19"/>
    <w:rsid w:val="00423E6D"/>
    <w:rsid w:val="0042494F"/>
    <w:rsid w:val="00424C3B"/>
    <w:rsid w:val="00426021"/>
    <w:rsid w:val="00426ACB"/>
    <w:rsid w:val="00427F6E"/>
    <w:rsid w:val="00431F39"/>
    <w:rsid w:val="0043329A"/>
    <w:rsid w:val="00434D4E"/>
    <w:rsid w:val="004378F0"/>
    <w:rsid w:val="00443513"/>
    <w:rsid w:val="004446BC"/>
    <w:rsid w:val="00444A30"/>
    <w:rsid w:val="004455F4"/>
    <w:rsid w:val="00446CC5"/>
    <w:rsid w:val="00450D3C"/>
    <w:rsid w:val="00451BB1"/>
    <w:rsid w:val="0045361A"/>
    <w:rsid w:val="00454445"/>
    <w:rsid w:val="00460331"/>
    <w:rsid w:val="0046330C"/>
    <w:rsid w:val="00464951"/>
    <w:rsid w:val="004706BC"/>
    <w:rsid w:val="00471FCD"/>
    <w:rsid w:val="00473838"/>
    <w:rsid w:val="004744F0"/>
    <w:rsid w:val="004762C5"/>
    <w:rsid w:val="004763F9"/>
    <w:rsid w:val="004778BF"/>
    <w:rsid w:val="00481E48"/>
    <w:rsid w:val="004836BA"/>
    <w:rsid w:val="00483B50"/>
    <w:rsid w:val="00485C6A"/>
    <w:rsid w:val="00490F6F"/>
    <w:rsid w:val="00491E69"/>
    <w:rsid w:val="00495267"/>
    <w:rsid w:val="004956F8"/>
    <w:rsid w:val="00497458"/>
    <w:rsid w:val="004A241F"/>
    <w:rsid w:val="004B0085"/>
    <w:rsid w:val="004C0DD9"/>
    <w:rsid w:val="004C127E"/>
    <w:rsid w:val="004C3AC5"/>
    <w:rsid w:val="004C489F"/>
    <w:rsid w:val="004C60B4"/>
    <w:rsid w:val="004D2782"/>
    <w:rsid w:val="004D4FBA"/>
    <w:rsid w:val="004E236F"/>
    <w:rsid w:val="004E3229"/>
    <w:rsid w:val="004E6BE9"/>
    <w:rsid w:val="004E7DE3"/>
    <w:rsid w:val="004E7E00"/>
    <w:rsid w:val="004F020F"/>
    <w:rsid w:val="004F0A4C"/>
    <w:rsid w:val="004F0B12"/>
    <w:rsid w:val="004F125E"/>
    <w:rsid w:val="004F1C44"/>
    <w:rsid w:val="004F2064"/>
    <w:rsid w:val="004F221C"/>
    <w:rsid w:val="004F441D"/>
    <w:rsid w:val="004F6C0D"/>
    <w:rsid w:val="00502B9F"/>
    <w:rsid w:val="00502EC0"/>
    <w:rsid w:val="005058E7"/>
    <w:rsid w:val="0051539B"/>
    <w:rsid w:val="005158CF"/>
    <w:rsid w:val="00517C66"/>
    <w:rsid w:val="0052030D"/>
    <w:rsid w:val="00522372"/>
    <w:rsid w:val="00523F0C"/>
    <w:rsid w:val="00524A44"/>
    <w:rsid w:val="00526247"/>
    <w:rsid w:val="005302CC"/>
    <w:rsid w:val="005306B9"/>
    <w:rsid w:val="00534A5B"/>
    <w:rsid w:val="005364E1"/>
    <w:rsid w:val="005403D8"/>
    <w:rsid w:val="00543127"/>
    <w:rsid w:val="00543DDD"/>
    <w:rsid w:val="00543E95"/>
    <w:rsid w:val="005443F0"/>
    <w:rsid w:val="00545461"/>
    <w:rsid w:val="0054663D"/>
    <w:rsid w:val="00546D12"/>
    <w:rsid w:val="0054790B"/>
    <w:rsid w:val="00550DEA"/>
    <w:rsid w:val="0055142F"/>
    <w:rsid w:val="00552085"/>
    <w:rsid w:val="005544B3"/>
    <w:rsid w:val="00554AA7"/>
    <w:rsid w:val="00562541"/>
    <w:rsid w:val="00562C37"/>
    <w:rsid w:val="00564997"/>
    <w:rsid w:val="00564BA0"/>
    <w:rsid w:val="00564EEA"/>
    <w:rsid w:val="00566E37"/>
    <w:rsid w:val="0057133E"/>
    <w:rsid w:val="00572349"/>
    <w:rsid w:val="00572927"/>
    <w:rsid w:val="0057345D"/>
    <w:rsid w:val="00574433"/>
    <w:rsid w:val="00574491"/>
    <w:rsid w:val="005779AE"/>
    <w:rsid w:val="00577F93"/>
    <w:rsid w:val="00581646"/>
    <w:rsid w:val="00583FEB"/>
    <w:rsid w:val="00584912"/>
    <w:rsid w:val="00585073"/>
    <w:rsid w:val="00585D3C"/>
    <w:rsid w:val="00585E43"/>
    <w:rsid w:val="00591424"/>
    <w:rsid w:val="00592227"/>
    <w:rsid w:val="00596C10"/>
    <w:rsid w:val="005A125E"/>
    <w:rsid w:val="005A1981"/>
    <w:rsid w:val="005A3AF0"/>
    <w:rsid w:val="005A567F"/>
    <w:rsid w:val="005A666C"/>
    <w:rsid w:val="005A7C83"/>
    <w:rsid w:val="005B13CB"/>
    <w:rsid w:val="005B2123"/>
    <w:rsid w:val="005B52ED"/>
    <w:rsid w:val="005B6068"/>
    <w:rsid w:val="005B63C1"/>
    <w:rsid w:val="005B6D1E"/>
    <w:rsid w:val="005C4101"/>
    <w:rsid w:val="005C47D7"/>
    <w:rsid w:val="005C6448"/>
    <w:rsid w:val="005D0135"/>
    <w:rsid w:val="005D055E"/>
    <w:rsid w:val="005D0861"/>
    <w:rsid w:val="005D13B3"/>
    <w:rsid w:val="005D2F20"/>
    <w:rsid w:val="005D7753"/>
    <w:rsid w:val="005E0C14"/>
    <w:rsid w:val="005E0FD6"/>
    <w:rsid w:val="005E110F"/>
    <w:rsid w:val="005E1914"/>
    <w:rsid w:val="005E199F"/>
    <w:rsid w:val="005E2112"/>
    <w:rsid w:val="005E4DB6"/>
    <w:rsid w:val="005E63DD"/>
    <w:rsid w:val="005E6BF8"/>
    <w:rsid w:val="005F1320"/>
    <w:rsid w:val="005F2B91"/>
    <w:rsid w:val="005F38AD"/>
    <w:rsid w:val="005F3A47"/>
    <w:rsid w:val="005F4B49"/>
    <w:rsid w:val="005F5635"/>
    <w:rsid w:val="005F70B2"/>
    <w:rsid w:val="005F70CE"/>
    <w:rsid w:val="005F78FC"/>
    <w:rsid w:val="00600703"/>
    <w:rsid w:val="0060090B"/>
    <w:rsid w:val="00601538"/>
    <w:rsid w:val="006023E3"/>
    <w:rsid w:val="006039A6"/>
    <w:rsid w:val="00605167"/>
    <w:rsid w:val="006052FA"/>
    <w:rsid w:val="0060558B"/>
    <w:rsid w:val="0061161C"/>
    <w:rsid w:val="00611AD1"/>
    <w:rsid w:val="006127C8"/>
    <w:rsid w:val="00613878"/>
    <w:rsid w:val="0061404C"/>
    <w:rsid w:val="00614253"/>
    <w:rsid w:val="006168A5"/>
    <w:rsid w:val="00617194"/>
    <w:rsid w:val="006225D3"/>
    <w:rsid w:val="00622E09"/>
    <w:rsid w:val="00625F1C"/>
    <w:rsid w:val="006278F1"/>
    <w:rsid w:val="006300A0"/>
    <w:rsid w:val="00634389"/>
    <w:rsid w:val="0063506A"/>
    <w:rsid w:val="00641FE1"/>
    <w:rsid w:val="00642DF8"/>
    <w:rsid w:val="00643724"/>
    <w:rsid w:val="00645FCD"/>
    <w:rsid w:val="00656C18"/>
    <w:rsid w:val="00660DC7"/>
    <w:rsid w:val="00661D97"/>
    <w:rsid w:val="0066237D"/>
    <w:rsid w:val="006636FF"/>
    <w:rsid w:val="0066579F"/>
    <w:rsid w:val="006703FF"/>
    <w:rsid w:val="0067059A"/>
    <w:rsid w:val="006706C2"/>
    <w:rsid w:val="00672934"/>
    <w:rsid w:val="00673087"/>
    <w:rsid w:val="00673ABE"/>
    <w:rsid w:val="00675C84"/>
    <w:rsid w:val="00676F70"/>
    <w:rsid w:val="006777BF"/>
    <w:rsid w:val="00677A29"/>
    <w:rsid w:val="00680D08"/>
    <w:rsid w:val="00682D97"/>
    <w:rsid w:val="0068524C"/>
    <w:rsid w:val="00685BF6"/>
    <w:rsid w:val="00687E5A"/>
    <w:rsid w:val="006901D3"/>
    <w:rsid w:val="00690908"/>
    <w:rsid w:val="00690FAE"/>
    <w:rsid w:val="006953BD"/>
    <w:rsid w:val="00695D56"/>
    <w:rsid w:val="006A5441"/>
    <w:rsid w:val="006A7438"/>
    <w:rsid w:val="006B2781"/>
    <w:rsid w:val="006B3D73"/>
    <w:rsid w:val="006C4FCB"/>
    <w:rsid w:val="006C6440"/>
    <w:rsid w:val="006C6FAB"/>
    <w:rsid w:val="006D082B"/>
    <w:rsid w:val="006D1390"/>
    <w:rsid w:val="006D5267"/>
    <w:rsid w:val="006D549F"/>
    <w:rsid w:val="006D6920"/>
    <w:rsid w:val="006E0931"/>
    <w:rsid w:val="006E0B9D"/>
    <w:rsid w:val="006E2110"/>
    <w:rsid w:val="006E318E"/>
    <w:rsid w:val="006E34E2"/>
    <w:rsid w:val="006E37F4"/>
    <w:rsid w:val="006E3EA5"/>
    <w:rsid w:val="006E5564"/>
    <w:rsid w:val="006E66FC"/>
    <w:rsid w:val="006F032D"/>
    <w:rsid w:val="006F2157"/>
    <w:rsid w:val="006F23F6"/>
    <w:rsid w:val="006F2AB3"/>
    <w:rsid w:val="006F40E3"/>
    <w:rsid w:val="006F52FD"/>
    <w:rsid w:val="006F6420"/>
    <w:rsid w:val="006F762F"/>
    <w:rsid w:val="00702121"/>
    <w:rsid w:val="00706D53"/>
    <w:rsid w:val="007075C6"/>
    <w:rsid w:val="00710A8C"/>
    <w:rsid w:val="00711A10"/>
    <w:rsid w:val="007210BF"/>
    <w:rsid w:val="00723D61"/>
    <w:rsid w:val="007254A9"/>
    <w:rsid w:val="007310FC"/>
    <w:rsid w:val="00731456"/>
    <w:rsid w:val="0073497A"/>
    <w:rsid w:val="007406EF"/>
    <w:rsid w:val="00740BED"/>
    <w:rsid w:val="00740E37"/>
    <w:rsid w:val="00741269"/>
    <w:rsid w:val="00742EA7"/>
    <w:rsid w:val="00744886"/>
    <w:rsid w:val="007457B3"/>
    <w:rsid w:val="0074694A"/>
    <w:rsid w:val="00746F65"/>
    <w:rsid w:val="00747C8D"/>
    <w:rsid w:val="007509A7"/>
    <w:rsid w:val="00750B9E"/>
    <w:rsid w:val="007519E0"/>
    <w:rsid w:val="00752973"/>
    <w:rsid w:val="00752D40"/>
    <w:rsid w:val="0075399A"/>
    <w:rsid w:val="007541BA"/>
    <w:rsid w:val="00754E3B"/>
    <w:rsid w:val="007558D7"/>
    <w:rsid w:val="00757501"/>
    <w:rsid w:val="00760C7F"/>
    <w:rsid w:val="007614F8"/>
    <w:rsid w:val="00763CCF"/>
    <w:rsid w:val="0076470E"/>
    <w:rsid w:val="00764954"/>
    <w:rsid w:val="00764D28"/>
    <w:rsid w:val="00765B63"/>
    <w:rsid w:val="00766FC7"/>
    <w:rsid w:val="00767AF8"/>
    <w:rsid w:val="00770A20"/>
    <w:rsid w:val="007728F4"/>
    <w:rsid w:val="00773F2C"/>
    <w:rsid w:val="00775200"/>
    <w:rsid w:val="00775E9F"/>
    <w:rsid w:val="00776033"/>
    <w:rsid w:val="00777182"/>
    <w:rsid w:val="00781318"/>
    <w:rsid w:val="00783366"/>
    <w:rsid w:val="00783872"/>
    <w:rsid w:val="00785158"/>
    <w:rsid w:val="00790616"/>
    <w:rsid w:val="007918E9"/>
    <w:rsid w:val="00791B40"/>
    <w:rsid w:val="00792E02"/>
    <w:rsid w:val="00794C19"/>
    <w:rsid w:val="00795E25"/>
    <w:rsid w:val="00796925"/>
    <w:rsid w:val="007A04B6"/>
    <w:rsid w:val="007A0564"/>
    <w:rsid w:val="007A4D5A"/>
    <w:rsid w:val="007A5F2A"/>
    <w:rsid w:val="007A7D93"/>
    <w:rsid w:val="007B349B"/>
    <w:rsid w:val="007C74D3"/>
    <w:rsid w:val="007D23FC"/>
    <w:rsid w:val="007D3F97"/>
    <w:rsid w:val="007E3201"/>
    <w:rsid w:val="007E5420"/>
    <w:rsid w:val="007E5B8C"/>
    <w:rsid w:val="00801542"/>
    <w:rsid w:val="00802AAA"/>
    <w:rsid w:val="00802FDB"/>
    <w:rsid w:val="00803C22"/>
    <w:rsid w:val="0081084E"/>
    <w:rsid w:val="00810D74"/>
    <w:rsid w:val="00812DDD"/>
    <w:rsid w:val="00813DD6"/>
    <w:rsid w:val="00815C3B"/>
    <w:rsid w:val="008212AF"/>
    <w:rsid w:val="00821925"/>
    <w:rsid w:val="00822CCD"/>
    <w:rsid w:val="00825AA3"/>
    <w:rsid w:val="0083147C"/>
    <w:rsid w:val="008335B1"/>
    <w:rsid w:val="00834AFA"/>
    <w:rsid w:val="00837A1F"/>
    <w:rsid w:val="008417CD"/>
    <w:rsid w:val="00842980"/>
    <w:rsid w:val="00842D1E"/>
    <w:rsid w:val="00845523"/>
    <w:rsid w:val="00846718"/>
    <w:rsid w:val="008507EE"/>
    <w:rsid w:val="008509AD"/>
    <w:rsid w:val="008511A8"/>
    <w:rsid w:val="00851A39"/>
    <w:rsid w:val="00852839"/>
    <w:rsid w:val="00855D1D"/>
    <w:rsid w:val="00860FF9"/>
    <w:rsid w:val="008623D2"/>
    <w:rsid w:val="00863899"/>
    <w:rsid w:val="008644F7"/>
    <w:rsid w:val="00864A01"/>
    <w:rsid w:val="0086523D"/>
    <w:rsid w:val="0086693C"/>
    <w:rsid w:val="00871057"/>
    <w:rsid w:val="00875FDE"/>
    <w:rsid w:val="00881490"/>
    <w:rsid w:val="00882017"/>
    <w:rsid w:val="0088381A"/>
    <w:rsid w:val="0088540C"/>
    <w:rsid w:val="008854CC"/>
    <w:rsid w:val="00890253"/>
    <w:rsid w:val="00890620"/>
    <w:rsid w:val="008912BE"/>
    <w:rsid w:val="0089224D"/>
    <w:rsid w:val="00894B2D"/>
    <w:rsid w:val="0089673E"/>
    <w:rsid w:val="008A01BB"/>
    <w:rsid w:val="008A5E24"/>
    <w:rsid w:val="008A707C"/>
    <w:rsid w:val="008B440B"/>
    <w:rsid w:val="008B6E65"/>
    <w:rsid w:val="008B7B56"/>
    <w:rsid w:val="008C0927"/>
    <w:rsid w:val="008C0B3E"/>
    <w:rsid w:val="008C0D0C"/>
    <w:rsid w:val="008C0D16"/>
    <w:rsid w:val="008C5249"/>
    <w:rsid w:val="008C53AD"/>
    <w:rsid w:val="008C5F03"/>
    <w:rsid w:val="008C6477"/>
    <w:rsid w:val="008D0AF1"/>
    <w:rsid w:val="008D3AD9"/>
    <w:rsid w:val="008D4204"/>
    <w:rsid w:val="008D57A2"/>
    <w:rsid w:val="008D6C8E"/>
    <w:rsid w:val="008E1490"/>
    <w:rsid w:val="008E6C0C"/>
    <w:rsid w:val="008F00DB"/>
    <w:rsid w:val="008F1BD1"/>
    <w:rsid w:val="008F551E"/>
    <w:rsid w:val="008F675E"/>
    <w:rsid w:val="008F751D"/>
    <w:rsid w:val="008F79DB"/>
    <w:rsid w:val="00902940"/>
    <w:rsid w:val="00903F09"/>
    <w:rsid w:val="00903F81"/>
    <w:rsid w:val="009043A4"/>
    <w:rsid w:val="00906BAC"/>
    <w:rsid w:val="0091147E"/>
    <w:rsid w:val="009118A6"/>
    <w:rsid w:val="00912BB3"/>
    <w:rsid w:val="00913241"/>
    <w:rsid w:val="009205EC"/>
    <w:rsid w:val="009249AC"/>
    <w:rsid w:val="009249B6"/>
    <w:rsid w:val="00927D0C"/>
    <w:rsid w:val="00930211"/>
    <w:rsid w:val="00932392"/>
    <w:rsid w:val="00932D4C"/>
    <w:rsid w:val="00934FB4"/>
    <w:rsid w:val="00937BBA"/>
    <w:rsid w:val="00937FBD"/>
    <w:rsid w:val="009404B4"/>
    <w:rsid w:val="009409A2"/>
    <w:rsid w:val="00941AF3"/>
    <w:rsid w:val="00941EF8"/>
    <w:rsid w:val="00943917"/>
    <w:rsid w:val="00946980"/>
    <w:rsid w:val="00951635"/>
    <w:rsid w:val="00951E4A"/>
    <w:rsid w:val="00952F30"/>
    <w:rsid w:val="0095598D"/>
    <w:rsid w:val="00961453"/>
    <w:rsid w:val="00965F4E"/>
    <w:rsid w:val="00971CA4"/>
    <w:rsid w:val="00973BCF"/>
    <w:rsid w:val="00973CBA"/>
    <w:rsid w:val="009749D6"/>
    <w:rsid w:val="00974B1C"/>
    <w:rsid w:val="00974FF3"/>
    <w:rsid w:val="00977A99"/>
    <w:rsid w:val="00977C6B"/>
    <w:rsid w:val="00977DD6"/>
    <w:rsid w:val="00984806"/>
    <w:rsid w:val="009849C3"/>
    <w:rsid w:val="00984A83"/>
    <w:rsid w:val="00984B9A"/>
    <w:rsid w:val="00984F97"/>
    <w:rsid w:val="0098587D"/>
    <w:rsid w:val="00987043"/>
    <w:rsid w:val="00991CD7"/>
    <w:rsid w:val="00992288"/>
    <w:rsid w:val="00992EE1"/>
    <w:rsid w:val="00993981"/>
    <w:rsid w:val="009A0952"/>
    <w:rsid w:val="009B2678"/>
    <w:rsid w:val="009B5C14"/>
    <w:rsid w:val="009B5D6C"/>
    <w:rsid w:val="009C4869"/>
    <w:rsid w:val="009C58BA"/>
    <w:rsid w:val="009C5EFF"/>
    <w:rsid w:val="009C6215"/>
    <w:rsid w:val="009C6AD8"/>
    <w:rsid w:val="009C6E4D"/>
    <w:rsid w:val="009D13DB"/>
    <w:rsid w:val="009D320F"/>
    <w:rsid w:val="009D4E83"/>
    <w:rsid w:val="009D567B"/>
    <w:rsid w:val="009E1BA8"/>
    <w:rsid w:val="009E6F67"/>
    <w:rsid w:val="009E7745"/>
    <w:rsid w:val="009F0996"/>
    <w:rsid w:val="009F0E56"/>
    <w:rsid w:val="009F2F8F"/>
    <w:rsid w:val="009F435A"/>
    <w:rsid w:val="00A002B9"/>
    <w:rsid w:val="00A01713"/>
    <w:rsid w:val="00A02107"/>
    <w:rsid w:val="00A04FBF"/>
    <w:rsid w:val="00A04FDB"/>
    <w:rsid w:val="00A10470"/>
    <w:rsid w:val="00A10DDF"/>
    <w:rsid w:val="00A13169"/>
    <w:rsid w:val="00A13C11"/>
    <w:rsid w:val="00A16A49"/>
    <w:rsid w:val="00A2060B"/>
    <w:rsid w:val="00A21043"/>
    <w:rsid w:val="00A2320F"/>
    <w:rsid w:val="00A23CD4"/>
    <w:rsid w:val="00A260AC"/>
    <w:rsid w:val="00A262EA"/>
    <w:rsid w:val="00A321C2"/>
    <w:rsid w:val="00A32332"/>
    <w:rsid w:val="00A36952"/>
    <w:rsid w:val="00A40128"/>
    <w:rsid w:val="00A43642"/>
    <w:rsid w:val="00A44BAD"/>
    <w:rsid w:val="00A44E49"/>
    <w:rsid w:val="00A4646F"/>
    <w:rsid w:val="00A519F8"/>
    <w:rsid w:val="00A5757B"/>
    <w:rsid w:val="00A6192A"/>
    <w:rsid w:val="00A632F6"/>
    <w:rsid w:val="00A63A8E"/>
    <w:rsid w:val="00A6441D"/>
    <w:rsid w:val="00A66492"/>
    <w:rsid w:val="00A73C6D"/>
    <w:rsid w:val="00A74F57"/>
    <w:rsid w:val="00A7672B"/>
    <w:rsid w:val="00A81016"/>
    <w:rsid w:val="00A83839"/>
    <w:rsid w:val="00A87E87"/>
    <w:rsid w:val="00A87EE8"/>
    <w:rsid w:val="00A92CC8"/>
    <w:rsid w:val="00A92F4E"/>
    <w:rsid w:val="00A9432A"/>
    <w:rsid w:val="00A94B4D"/>
    <w:rsid w:val="00A964B2"/>
    <w:rsid w:val="00A97F6C"/>
    <w:rsid w:val="00AA1504"/>
    <w:rsid w:val="00AA2452"/>
    <w:rsid w:val="00AA255B"/>
    <w:rsid w:val="00AA2CB4"/>
    <w:rsid w:val="00AA48A0"/>
    <w:rsid w:val="00AA6C2F"/>
    <w:rsid w:val="00AB5162"/>
    <w:rsid w:val="00AC1529"/>
    <w:rsid w:val="00AC3F28"/>
    <w:rsid w:val="00AC563F"/>
    <w:rsid w:val="00AC7E74"/>
    <w:rsid w:val="00AD0656"/>
    <w:rsid w:val="00AD0EF3"/>
    <w:rsid w:val="00AD3820"/>
    <w:rsid w:val="00AD3D15"/>
    <w:rsid w:val="00AD3E64"/>
    <w:rsid w:val="00AE1439"/>
    <w:rsid w:val="00AE27D9"/>
    <w:rsid w:val="00AE2F55"/>
    <w:rsid w:val="00AE5297"/>
    <w:rsid w:val="00AF2EE0"/>
    <w:rsid w:val="00AF345D"/>
    <w:rsid w:val="00AF62BF"/>
    <w:rsid w:val="00AF6A30"/>
    <w:rsid w:val="00AF78A5"/>
    <w:rsid w:val="00B01687"/>
    <w:rsid w:val="00B03843"/>
    <w:rsid w:val="00B04719"/>
    <w:rsid w:val="00B06D9C"/>
    <w:rsid w:val="00B10CB6"/>
    <w:rsid w:val="00B12646"/>
    <w:rsid w:val="00B145B4"/>
    <w:rsid w:val="00B150F1"/>
    <w:rsid w:val="00B163EA"/>
    <w:rsid w:val="00B16BC0"/>
    <w:rsid w:val="00B2072B"/>
    <w:rsid w:val="00B2190E"/>
    <w:rsid w:val="00B230A3"/>
    <w:rsid w:val="00B262EE"/>
    <w:rsid w:val="00B26599"/>
    <w:rsid w:val="00B26A02"/>
    <w:rsid w:val="00B308D7"/>
    <w:rsid w:val="00B35F8C"/>
    <w:rsid w:val="00B36251"/>
    <w:rsid w:val="00B364EF"/>
    <w:rsid w:val="00B367E4"/>
    <w:rsid w:val="00B413C0"/>
    <w:rsid w:val="00B422C2"/>
    <w:rsid w:val="00B427C0"/>
    <w:rsid w:val="00B430EF"/>
    <w:rsid w:val="00B44B92"/>
    <w:rsid w:val="00B53B76"/>
    <w:rsid w:val="00B53E9E"/>
    <w:rsid w:val="00B56AD4"/>
    <w:rsid w:val="00B56BF8"/>
    <w:rsid w:val="00B578E0"/>
    <w:rsid w:val="00B57B33"/>
    <w:rsid w:val="00B635F1"/>
    <w:rsid w:val="00B660EB"/>
    <w:rsid w:val="00B67191"/>
    <w:rsid w:val="00B67277"/>
    <w:rsid w:val="00B67BC2"/>
    <w:rsid w:val="00B74B18"/>
    <w:rsid w:val="00B750D1"/>
    <w:rsid w:val="00B76BE9"/>
    <w:rsid w:val="00B904FC"/>
    <w:rsid w:val="00B90B3F"/>
    <w:rsid w:val="00B90C64"/>
    <w:rsid w:val="00B91A64"/>
    <w:rsid w:val="00B94F9B"/>
    <w:rsid w:val="00B96417"/>
    <w:rsid w:val="00B966E8"/>
    <w:rsid w:val="00BA0140"/>
    <w:rsid w:val="00BA14F2"/>
    <w:rsid w:val="00BA35AB"/>
    <w:rsid w:val="00BA3A45"/>
    <w:rsid w:val="00BA57A2"/>
    <w:rsid w:val="00BA5FC2"/>
    <w:rsid w:val="00BA6253"/>
    <w:rsid w:val="00BA6618"/>
    <w:rsid w:val="00BB12A9"/>
    <w:rsid w:val="00BB161C"/>
    <w:rsid w:val="00BB1E5E"/>
    <w:rsid w:val="00BB1FEA"/>
    <w:rsid w:val="00BB578A"/>
    <w:rsid w:val="00BC37F9"/>
    <w:rsid w:val="00BC489B"/>
    <w:rsid w:val="00BC64D7"/>
    <w:rsid w:val="00BC6559"/>
    <w:rsid w:val="00BC7B13"/>
    <w:rsid w:val="00BD09C7"/>
    <w:rsid w:val="00BD0DCD"/>
    <w:rsid w:val="00BD165A"/>
    <w:rsid w:val="00BD3E6E"/>
    <w:rsid w:val="00BD7E29"/>
    <w:rsid w:val="00BE4868"/>
    <w:rsid w:val="00BE560D"/>
    <w:rsid w:val="00BE62C6"/>
    <w:rsid w:val="00BE68B3"/>
    <w:rsid w:val="00BF0DF0"/>
    <w:rsid w:val="00BF2384"/>
    <w:rsid w:val="00BF246B"/>
    <w:rsid w:val="00BF2B34"/>
    <w:rsid w:val="00BF6416"/>
    <w:rsid w:val="00BF7A13"/>
    <w:rsid w:val="00BF7CF1"/>
    <w:rsid w:val="00BF7D26"/>
    <w:rsid w:val="00C04FC9"/>
    <w:rsid w:val="00C05076"/>
    <w:rsid w:val="00C051DD"/>
    <w:rsid w:val="00C06EE5"/>
    <w:rsid w:val="00C10D07"/>
    <w:rsid w:val="00C12380"/>
    <w:rsid w:val="00C12E2E"/>
    <w:rsid w:val="00C15142"/>
    <w:rsid w:val="00C15914"/>
    <w:rsid w:val="00C16732"/>
    <w:rsid w:val="00C169A4"/>
    <w:rsid w:val="00C209B8"/>
    <w:rsid w:val="00C229EE"/>
    <w:rsid w:val="00C2699D"/>
    <w:rsid w:val="00C26A27"/>
    <w:rsid w:val="00C31198"/>
    <w:rsid w:val="00C3501D"/>
    <w:rsid w:val="00C36137"/>
    <w:rsid w:val="00C37C0E"/>
    <w:rsid w:val="00C41EF4"/>
    <w:rsid w:val="00C45F79"/>
    <w:rsid w:val="00C474DF"/>
    <w:rsid w:val="00C50491"/>
    <w:rsid w:val="00C557E3"/>
    <w:rsid w:val="00C57CE3"/>
    <w:rsid w:val="00C606E0"/>
    <w:rsid w:val="00C61D73"/>
    <w:rsid w:val="00C62857"/>
    <w:rsid w:val="00C670BF"/>
    <w:rsid w:val="00C70D5B"/>
    <w:rsid w:val="00C71BB3"/>
    <w:rsid w:val="00C71ECA"/>
    <w:rsid w:val="00C732DD"/>
    <w:rsid w:val="00C74026"/>
    <w:rsid w:val="00C81B40"/>
    <w:rsid w:val="00C830DB"/>
    <w:rsid w:val="00C83CFD"/>
    <w:rsid w:val="00C910D4"/>
    <w:rsid w:val="00C92048"/>
    <w:rsid w:val="00C92CC4"/>
    <w:rsid w:val="00C94979"/>
    <w:rsid w:val="00C95ECE"/>
    <w:rsid w:val="00C972A1"/>
    <w:rsid w:val="00CA19FA"/>
    <w:rsid w:val="00CA55BE"/>
    <w:rsid w:val="00CA60E3"/>
    <w:rsid w:val="00CB0EA0"/>
    <w:rsid w:val="00CB14DE"/>
    <w:rsid w:val="00CB1D21"/>
    <w:rsid w:val="00CB4843"/>
    <w:rsid w:val="00CB51A6"/>
    <w:rsid w:val="00CB54A0"/>
    <w:rsid w:val="00CC28BF"/>
    <w:rsid w:val="00CC414D"/>
    <w:rsid w:val="00CC4BEB"/>
    <w:rsid w:val="00CC7513"/>
    <w:rsid w:val="00CD23E8"/>
    <w:rsid w:val="00CD2D1F"/>
    <w:rsid w:val="00CD38D9"/>
    <w:rsid w:val="00CD474C"/>
    <w:rsid w:val="00CD55E0"/>
    <w:rsid w:val="00CD6C8E"/>
    <w:rsid w:val="00CE1807"/>
    <w:rsid w:val="00CE2AB4"/>
    <w:rsid w:val="00CE3055"/>
    <w:rsid w:val="00CE483C"/>
    <w:rsid w:val="00CE516E"/>
    <w:rsid w:val="00CF0F7C"/>
    <w:rsid w:val="00CF249D"/>
    <w:rsid w:val="00CF25FF"/>
    <w:rsid w:val="00CF2F1E"/>
    <w:rsid w:val="00CF432A"/>
    <w:rsid w:val="00CF5123"/>
    <w:rsid w:val="00CF6FE9"/>
    <w:rsid w:val="00D01041"/>
    <w:rsid w:val="00D04A1F"/>
    <w:rsid w:val="00D1116B"/>
    <w:rsid w:val="00D12101"/>
    <w:rsid w:val="00D133DA"/>
    <w:rsid w:val="00D13824"/>
    <w:rsid w:val="00D1698B"/>
    <w:rsid w:val="00D1715E"/>
    <w:rsid w:val="00D20240"/>
    <w:rsid w:val="00D23483"/>
    <w:rsid w:val="00D23CB6"/>
    <w:rsid w:val="00D26096"/>
    <w:rsid w:val="00D268BA"/>
    <w:rsid w:val="00D26A52"/>
    <w:rsid w:val="00D27A9F"/>
    <w:rsid w:val="00D30C94"/>
    <w:rsid w:val="00D3118F"/>
    <w:rsid w:val="00D314C6"/>
    <w:rsid w:val="00D320A1"/>
    <w:rsid w:val="00D32617"/>
    <w:rsid w:val="00D33215"/>
    <w:rsid w:val="00D34978"/>
    <w:rsid w:val="00D3659A"/>
    <w:rsid w:val="00D365B2"/>
    <w:rsid w:val="00D41504"/>
    <w:rsid w:val="00D415A1"/>
    <w:rsid w:val="00D45DA8"/>
    <w:rsid w:val="00D461FC"/>
    <w:rsid w:val="00D46FE3"/>
    <w:rsid w:val="00D47688"/>
    <w:rsid w:val="00D505DE"/>
    <w:rsid w:val="00D622EC"/>
    <w:rsid w:val="00D65DAD"/>
    <w:rsid w:val="00D715AE"/>
    <w:rsid w:val="00D72083"/>
    <w:rsid w:val="00D7390A"/>
    <w:rsid w:val="00D74FA6"/>
    <w:rsid w:val="00D75C70"/>
    <w:rsid w:val="00D763F7"/>
    <w:rsid w:val="00D8008A"/>
    <w:rsid w:val="00D81A1C"/>
    <w:rsid w:val="00D81FF5"/>
    <w:rsid w:val="00D8307F"/>
    <w:rsid w:val="00D83E41"/>
    <w:rsid w:val="00D900D0"/>
    <w:rsid w:val="00D904C8"/>
    <w:rsid w:val="00D90FF5"/>
    <w:rsid w:val="00D919C1"/>
    <w:rsid w:val="00D9363F"/>
    <w:rsid w:val="00D94D27"/>
    <w:rsid w:val="00D95604"/>
    <w:rsid w:val="00D97DD6"/>
    <w:rsid w:val="00DA3C3D"/>
    <w:rsid w:val="00DA772C"/>
    <w:rsid w:val="00DA7E9E"/>
    <w:rsid w:val="00DB7B99"/>
    <w:rsid w:val="00DC2C3B"/>
    <w:rsid w:val="00DC3B22"/>
    <w:rsid w:val="00DE3DB1"/>
    <w:rsid w:val="00DE54D5"/>
    <w:rsid w:val="00DE6BB9"/>
    <w:rsid w:val="00DE7660"/>
    <w:rsid w:val="00DF2804"/>
    <w:rsid w:val="00DF4A2E"/>
    <w:rsid w:val="00E0149D"/>
    <w:rsid w:val="00E02095"/>
    <w:rsid w:val="00E027DF"/>
    <w:rsid w:val="00E03C40"/>
    <w:rsid w:val="00E1134D"/>
    <w:rsid w:val="00E1194B"/>
    <w:rsid w:val="00E121AA"/>
    <w:rsid w:val="00E133BA"/>
    <w:rsid w:val="00E14229"/>
    <w:rsid w:val="00E14C59"/>
    <w:rsid w:val="00E20D50"/>
    <w:rsid w:val="00E25B09"/>
    <w:rsid w:val="00E268FD"/>
    <w:rsid w:val="00E27CA4"/>
    <w:rsid w:val="00E321EB"/>
    <w:rsid w:val="00E32B93"/>
    <w:rsid w:val="00E32C0B"/>
    <w:rsid w:val="00E3397A"/>
    <w:rsid w:val="00E36633"/>
    <w:rsid w:val="00E36814"/>
    <w:rsid w:val="00E37DAC"/>
    <w:rsid w:val="00E443C8"/>
    <w:rsid w:val="00E51A37"/>
    <w:rsid w:val="00E52E85"/>
    <w:rsid w:val="00E53867"/>
    <w:rsid w:val="00E53FED"/>
    <w:rsid w:val="00E55120"/>
    <w:rsid w:val="00E558B7"/>
    <w:rsid w:val="00E55A9A"/>
    <w:rsid w:val="00E57140"/>
    <w:rsid w:val="00E57767"/>
    <w:rsid w:val="00E57925"/>
    <w:rsid w:val="00E60681"/>
    <w:rsid w:val="00E61656"/>
    <w:rsid w:val="00E62B8D"/>
    <w:rsid w:val="00E62EE1"/>
    <w:rsid w:val="00E6427D"/>
    <w:rsid w:val="00E66435"/>
    <w:rsid w:val="00E6735A"/>
    <w:rsid w:val="00E73255"/>
    <w:rsid w:val="00E74AE9"/>
    <w:rsid w:val="00E756C1"/>
    <w:rsid w:val="00E76E4C"/>
    <w:rsid w:val="00E8047D"/>
    <w:rsid w:val="00E80F82"/>
    <w:rsid w:val="00E817A0"/>
    <w:rsid w:val="00E82291"/>
    <w:rsid w:val="00E84212"/>
    <w:rsid w:val="00E84A4D"/>
    <w:rsid w:val="00E84E16"/>
    <w:rsid w:val="00E84F96"/>
    <w:rsid w:val="00E85856"/>
    <w:rsid w:val="00E86117"/>
    <w:rsid w:val="00E869CC"/>
    <w:rsid w:val="00E933EF"/>
    <w:rsid w:val="00E957F9"/>
    <w:rsid w:val="00E96C26"/>
    <w:rsid w:val="00E97D86"/>
    <w:rsid w:val="00EA2E47"/>
    <w:rsid w:val="00EA32D0"/>
    <w:rsid w:val="00EB1296"/>
    <w:rsid w:val="00EB5B1C"/>
    <w:rsid w:val="00EB65FD"/>
    <w:rsid w:val="00EC0674"/>
    <w:rsid w:val="00EC0D9D"/>
    <w:rsid w:val="00EC2406"/>
    <w:rsid w:val="00EC2B8B"/>
    <w:rsid w:val="00EC37AE"/>
    <w:rsid w:val="00EC662B"/>
    <w:rsid w:val="00EC719B"/>
    <w:rsid w:val="00ED04FE"/>
    <w:rsid w:val="00ED2D4A"/>
    <w:rsid w:val="00ED358D"/>
    <w:rsid w:val="00ED49C8"/>
    <w:rsid w:val="00ED6D5E"/>
    <w:rsid w:val="00EE220C"/>
    <w:rsid w:val="00EE319E"/>
    <w:rsid w:val="00EE3771"/>
    <w:rsid w:val="00EE3B8D"/>
    <w:rsid w:val="00EE3E99"/>
    <w:rsid w:val="00EE4F0D"/>
    <w:rsid w:val="00EE5377"/>
    <w:rsid w:val="00EE6100"/>
    <w:rsid w:val="00EF08CD"/>
    <w:rsid w:val="00EF18E2"/>
    <w:rsid w:val="00EF4A5A"/>
    <w:rsid w:val="00EF52F4"/>
    <w:rsid w:val="00EF719F"/>
    <w:rsid w:val="00F05B42"/>
    <w:rsid w:val="00F068B4"/>
    <w:rsid w:val="00F06C6C"/>
    <w:rsid w:val="00F10A83"/>
    <w:rsid w:val="00F117E9"/>
    <w:rsid w:val="00F14B45"/>
    <w:rsid w:val="00F17161"/>
    <w:rsid w:val="00F20784"/>
    <w:rsid w:val="00F224B1"/>
    <w:rsid w:val="00F23BC6"/>
    <w:rsid w:val="00F23C96"/>
    <w:rsid w:val="00F24581"/>
    <w:rsid w:val="00F2488A"/>
    <w:rsid w:val="00F25EC0"/>
    <w:rsid w:val="00F25F57"/>
    <w:rsid w:val="00F426CD"/>
    <w:rsid w:val="00F50E56"/>
    <w:rsid w:val="00F5191D"/>
    <w:rsid w:val="00F52472"/>
    <w:rsid w:val="00F5266B"/>
    <w:rsid w:val="00F5517E"/>
    <w:rsid w:val="00F57983"/>
    <w:rsid w:val="00F6152F"/>
    <w:rsid w:val="00F631B6"/>
    <w:rsid w:val="00F66B2E"/>
    <w:rsid w:val="00F6700F"/>
    <w:rsid w:val="00F7131F"/>
    <w:rsid w:val="00F71613"/>
    <w:rsid w:val="00F72BD4"/>
    <w:rsid w:val="00F77AA0"/>
    <w:rsid w:val="00F811B6"/>
    <w:rsid w:val="00F821FD"/>
    <w:rsid w:val="00F832B7"/>
    <w:rsid w:val="00F83C92"/>
    <w:rsid w:val="00F84D0F"/>
    <w:rsid w:val="00F857B4"/>
    <w:rsid w:val="00F8588E"/>
    <w:rsid w:val="00F85E36"/>
    <w:rsid w:val="00F936CD"/>
    <w:rsid w:val="00F947BB"/>
    <w:rsid w:val="00F94848"/>
    <w:rsid w:val="00F95341"/>
    <w:rsid w:val="00F9573D"/>
    <w:rsid w:val="00F97A99"/>
    <w:rsid w:val="00F97ACF"/>
    <w:rsid w:val="00FA2A72"/>
    <w:rsid w:val="00FA3111"/>
    <w:rsid w:val="00FA7E06"/>
    <w:rsid w:val="00FB0BE5"/>
    <w:rsid w:val="00FB1145"/>
    <w:rsid w:val="00FB1A2B"/>
    <w:rsid w:val="00FB2214"/>
    <w:rsid w:val="00FB2631"/>
    <w:rsid w:val="00FB26DB"/>
    <w:rsid w:val="00FB6180"/>
    <w:rsid w:val="00FB716D"/>
    <w:rsid w:val="00FC053E"/>
    <w:rsid w:val="00FC2360"/>
    <w:rsid w:val="00FC2438"/>
    <w:rsid w:val="00FC2501"/>
    <w:rsid w:val="00FC4A0E"/>
    <w:rsid w:val="00FC5C2E"/>
    <w:rsid w:val="00FD0358"/>
    <w:rsid w:val="00FD6A40"/>
    <w:rsid w:val="00FD715A"/>
    <w:rsid w:val="00FD7800"/>
    <w:rsid w:val="00FE137E"/>
    <w:rsid w:val="00FE26A4"/>
    <w:rsid w:val="00FE4DA2"/>
    <w:rsid w:val="00FE5B11"/>
    <w:rsid w:val="00FE5C35"/>
    <w:rsid w:val="00FE608C"/>
    <w:rsid w:val="00FE6504"/>
    <w:rsid w:val="00FE758F"/>
    <w:rsid w:val="00FE7EA8"/>
    <w:rsid w:val="00FF0E4A"/>
    <w:rsid w:val="00FF20E7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63AB"/>
  <w15:docId w15:val="{2EB348DB-BE2E-429A-883C-6E21AE1A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674"/>
    <w:pPr>
      <w:keepNext/>
      <w:spacing w:after="0" w:line="240" w:lineRule="auto"/>
      <w:outlineLvl w:val="0"/>
    </w:pPr>
    <w:rPr>
      <w:rFonts w:ascii="Arial" w:eastAsia="Times New Roman" w:hAnsi="Arial"/>
      <w:b/>
      <w:color w:val="0067B1"/>
      <w:sz w:val="56"/>
      <w:szCs w:val="20"/>
      <w:lang w:val="en-US" w:eastAsia="en-AU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41504"/>
    <w:pPr>
      <w:outlineLvl w:val="1"/>
    </w:p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EC0674"/>
    <w:pPr>
      <w:tabs>
        <w:tab w:val="left" w:pos="284"/>
      </w:tabs>
      <w:spacing w:line="360" w:lineRule="auto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Default"/>
    <w:next w:val="Normal"/>
    <w:link w:val="Heading4Char"/>
    <w:uiPriority w:val="9"/>
    <w:unhideWhenUsed/>
    <w:qFormat/>
    <w:rsid w:val="00EC0674"/>
    <w:pPr>
      <w:tabs>
        <w:tab w:val="left" w:pos="284"/>
      </w:tabs>
      <w:spacing w:line="360" w:lineRule="auto"/>
      <w:jc w:val="both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330C"/>
    <w:p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link w:val="BodyText"/>
    <w:rsid w:val="0046330C"/>
    <w:rPr>
      <w:rFonts w:ascii="Arial" w:eastAsia="Times New Roman" w:hAnsi="Arial"/>
      <w:b/>
      <w:lang w:eastAsia="en-US"/>
    </w:rPr>
  </w:style>
  <w:style w:type="paragraph" w:customStyle="1" w:styleId="Default">
    <w:name w:val="Default"/>
    <w:rsid w:val="0046330C"/>
    <w:rPr>
      <w:rFonts w:ascii="Bembo-SemiboldItalic" w:eastAsia="Times New Roman" w:hAnsi="Bembo-SemiboldItalic"/>
      <w:snapToGrid w:val="0"/>
      <w:lang w:eastAsia="en-US"/>
    </w:rPr>
  </w:style>
  <w:style w:type="paragraph" w:customStyle="1" w:styleId="Pa1">
    <w:name w:val="Pa1"/>
    <w:basedOn w:val="Default"/>
    <w:next w:val="Default"/>
    <w:rsid w:val="0046330C"/>
    <w:pPr>
      <w:spacing w:before="20" w:line="200" w:lineRule="auto"/>
    </w:pPr>
    <w:rPr>
      <w:sz w:val="24"/>
    </w:rPr>
  </w:style>
  <w:style w:type="paragraph" w:customStyle="1" w:styleId="Pa2">
    <w:name w:val="Pa2"/>
    <w:basedOn w:val="Default"/>
    <w:next w:val="Default"/>
    <w:rsid w:val="0046330C"/>
    <w:pPr>
      <w:spacing w:before="100" w:line="200" w:lineRule="auto"/>
    </w:pPr>
    <w:rPr>
      <w:sz w:val="24"/>
    </w:rPr>
  </w:style>
  <w:style w:type="paragraph" w:customStyle="1" w:styleId="Pa3">
    <w:name w:val="Pa3"/>
    <w:basedOn w:val="Default"/>
    <w:next w:val="Default"/>
    <w:rsid w:val="0046330C"/>
    <w:pPr>
      <w:spacing w:before="100" w:line="200" w:lineRule="auto"/>
    </w:pPr>
    <w:rPr>
      <w:sz w:val="24"/>
    </w:rPr>
  </w:style>
  <w:style w:type="character" w:styleId="Hyperlink">
    <w:name w:val="Hyperlink"/>
    <w:rsid w:val="0046330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C0674"/>
    <w:rPr>
      <w:rFonts w:ascii="Arial" w:eastAsia="Times New Roman" w:hAnsi="Arial"/>
      <w:b/>
      <w:color w:val="0067B1"/>
      <w:sz w:val="56"/>
      <w:lang w:val="en-US"/>
    </w:rPr>
  </w:style>
  <w:style w:type="character" w:customStyle="1" w:styleId="Heading2Char">
    <w:name w:val="Heading 2 Char"/>
    <w:link w:val="Heading2"/>
    <w:uiPriority w:val="9"/>
    <w:rsid w:val="00D41504"/>
    <w:rPr>
      <w:rFonts w:ascii="Arial" w:eastAsia="Times New Roman" w:hAnsi="Arial"/>
      <w:b/>
      <w:snapToGrid w:val="0"/>
      <w:lang w:eastAsia="en-US"/>
    </w:rPr>
  </w:style>
  <w:style w:type="character" w:customStyle="1" w:styleId="Heading3Char">
    <w:name w:val="Heading 3 Char"/>
    <w:link w:val="Heading3"/>
    <w:uiPriority w:val="9"/>
    <w:rsid w:val="00EC0674"/>
    <w:rPr>
      <w:rFonts w:ascii="Arial" w:eastAsia="Times New Roman" w:hAnsi="Arial"/>
      <w:b/>
      <w:snapToGrid w:val="0"/>
      <w:lang w:eastAsia="en-US"/>
    </w:rPr>
  </w:style>
  <w:style w:type="character" w:customStyle="1" w:styleId="Heading4Char">
    <w:name w:val="Heading 4 Char"/>
    <w:link w:val="Heading4"/>
    <w:uiPriority w:val="9"/>
    <w:rsid w:val="00EC0674"/>
    <w:rPr>
      <w:rFonts w:ascii="Arial" w:eastAsia="Times New Roman" w:hAnsi="Arial"/>
      <w:snapToGrid w:val="0"/>
      <w:u w:val="single"/>
      <w:lang w:eastAsia="en-US"/>
    </w:rPr>
  </w:style>
  <w:style w:type="character" w:styleId="FollowedHyperlink">
    <w:name w:val="FollowedHyperlink"/>
    <w:uiPriority w:val="99"/>
    <w:semiHidden/>
    <w:unhideWhenUsed/>
    <w:rsid w:val="00053D9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7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5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5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49"/>
    <w:rPr>
      <w:sz w:val="22"/>
      <w:szCs w:val="22"/>
      <w:lang w:eastAsia="en-US"/>
    </w:rPr>
  </w:style>
  <w:style w:type="paragraph" w:customStyle="1" w:styleId="Normal0">
    <w:name w:val="Normal_0"/>
    <w:qFormat/>
    <w:rsid w:val="00282A7B"/>
    <w:pPr>
      <w:spacing w:after="200" w:line="276" w:lineRule="auto"/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isbane.qld.gov.au/about-council/council-information-rates/news-publicati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7F1BB465A934DBC34550B7527169A" ma:contentTypeVersion="7" ma:contentTypeDescription="Create a new document." ma:contentTypeScope="" ma:versionID="a7089a3834d00dd1389ebe27decca09c">
  <xsd:schema xmlns:xsd="http://www.w3.org/2001/XMLSchema" xmlns:xs="http://www.w3.org/2001/XMLSchema" xmlns:p="http://schemas.microsoft.com/office/2006/metadata/properties" xmlns:ns3="d5b6ae51-a591-4314-897d-19e4e9709ae6" xmlns:ns4="dbb5aac1-f1bf-49d5-ab0d-24dab3851e0c" targetNamespace="http://schemas.microsoft.com/office/2006/metadata/properties" ma:root="true" ma:fieldsID="8f1a062ff35165c07e163b2b46182c8b" ns3:_="" ns4:_="">
    <xsd:import namespace="d5b6ae51-a591-4314-897d-19e4e9709ae6"/>
    <xsd:import namespace="dbb5aac1-f1bf-49d5-ab0d-24dab3851e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ae51-a591-4314-897d-19e4e970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5aac1-f1bf-49d5-ab0d-24dab3851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73041-4346-45CA-BD94-10F314EDD66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dbb5aac1-f1bf-49d5-ab0d-24dab3851e0c"/>
    <ds:schemaRef ds:uri="d5b6ae51-a591-4314-897d-19e4e9709ae6"/>
  </ds:schemaRefs>
</ds:datastoreItem>
</file>

<file path=customXml/itemProps2.xml><?xml version="1.0" encoding="utf-8"?>
<ds:datastoreItem xmlns:ds="http://schemas.openxmlformats.org/officeDocument/2006/customXml" ds:itemID="{ED8EF9A0-0200-480A-AED1-AAB1D6E75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4C096-529D-444B-8FBC-309F2CD0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6ae51-a591-4314-897d-19e4e9709ae6"/>
    <ds:schemaRef ds:uri="dbb5aac1-f1bf-49d5-ab0d-24dab3851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3916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http://www.brisbane.qld.gov.au/about-council/council-information-rates/news-publications/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Quinn</dc:creator>
  <cp:lastModifiedBy>Trudy Locke</cp:lastModifiedBy>
  <cp:revision>3</cp:revision>
  <dcterms:created xsi:type="dcterms:W3CDTF">2020-06-14T05:34:00Z</dcterms:created>
  <dcterms:modified xsi:type="dcterms:W3CDTF">2020-06-15T01:58:00Z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0x010100C677F1BB465A934DBC34550B7527169A</vt:lpwstr>
  </property>
</Properties>
</file>