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316C" w14:textId="46049C74" w:rsidR="00364AC2" w:rsidRDefault="00364AC2">
      <w:pPr>
        <w:rPr>
          <w:rFonts w:cs="Arial"/>
        </w:rPr>
      </w:pPr>
    </w:p>
    <w:p w14:paraId="37150B00" w14:textId="45964C41" w:rsidR="006D7DCD" w:rsidRPr="006D7DCD" w:rsidRDefault="006D7DCD" w:rsidP="006D7DCD">
      <w:pPr>
        <w:rPr>
          <w:rFonts w:cs="Arial"/>
        </w:rPr>
      </w:pPr>
    </w:p>
    <w:p w14:paraId="563F2FEE" w14:textId="69031200" w:rsidR="006D7DCD" w:rsidRPr="006D7DCD" w:rsidRDefault="006D7DCD" w:rsidP="006D7DCD">
      <w:pPr>
        <w:rPr>
          <w:rFonts w:cs="Arial"/>
        </w:rPr>
      </w:pPr>
    </w:p>
    <w:p w14:paraId="1E90ABC9" w14:textId="7C219B3D" w:rsidR="006D7DCD" w:rsidRPr="006D7DCD" w:rsidRDefault="006D7DCD" w:rsidP="006D7DCD">
      <w:pPr>
        <w:rPr>
          <w:rFonts w:cs="Arial"/>
        </w:rPr>
      </w:pPr>
    </w:p>
    <w:p w14:paraId="377BA923" w14:textId="077DF1B9" w:rsidR="006D7DCD" w:rsidRDefault="006D7DCD" w:rsidP="006D7DCD">
      <w:pPr>
        <w:rPr>
          <w:rFonts w:cs="Arial"/>
        </w:rPr>
      </w:pPr>
    </w:p>
    <w:p w14:paraId="0ABEE920" w14:textId="3EF5D9D5" w:rsidR="003E757E" w:rsidRDefault="003E757E" w:rsidP="007852C8">
      <w:pPr>
        <w:rPr>
          <w:rFonts w:cs="Arial"/>
        </w:rPr>
      </w:pPr>
    </w:p>
    <w:p w14:paraId="4371BCA2" w14:textId="44EF3516" w:rsidR="003E757E" w:rsidRDefault="003E757E" w:rsidP="007852C8">
      <w:pPr>
        <w:rPr>
          <w:rFonts w:cs="Arial"/>
        </w:rPr>
      </w:pPr>
    </w:p>
    <w:p w14:paraId="2A3D56D2" w14:textId="148C9164" w:rsidR="003E757E" w:rsidRDefault="003E757E" w:rsidP="007852C8">
      <w:pPr>
        <w:rPr>
          <w:rFonts w:cs="Arial"/>
        </w:rPr>
      </w:pPr>
    </w:p>
    <w:p w14:paraId="2743BE99" w14:textId="52AFF829" w:rsidR="003E757E" w:rsidRDefault="003E757E" w:rsidP="007852C8">
      <w:pPr>
        <w:rPr>
          <w:rFonts w:cs="Arial"/>
        </w:rPr>
      </w:pPr>
    </w:p>
    <w:p w14:paraId="21357F23" w14:textId="322BB70F" w:rsidR="008A3305" w:rsidRDefault="008A3305" w:rsidP="007852C8"/>
    <w:p w14:paraId="6D03CD93" w14:textId="644444D2" w:rsidR="008A3305" w:rsidRDefault="008A3305" w:rsidP="007852C8"/>
    <w:p w14:paraId="00BE68C5" w14:textId="771E4215" w:rsidR="008A3305" w:rsidRDefault="008A3305" w:rsidP="007852C8"/>
    <w:p w14:paraId="089FC4E9" w14:textId="3490DEFF" w:rsidR="007852C8" w:rsidRDefault="007852C8" w:rsidP="007852C8"/>
    <w:p w14:paraId="02B47867" w14:textId="3490DEFF" w:rsidR="007852C8" w:rsidRDefault="007852C8" w:rsidP="007852C8"/>
    <w:p w14:paraId="125144E8" w14:textId="5750E650" w:rsidR="002F38DE" w:rsidRDefault="002F38DE" w:rsidP="002F38DE">
      <w:pPr>
        <w:pStyle w:val="Heading1Councilblue"/>
      </w:pPr>
      <w:r>
        <w:t>Brisbane City Council</w:t>
      </w:r>
    </w:p>
    <w:p w14:paraId="55A07F46" w14:textId="77777777" w:rsidR="002F38DE" w:rsidRPr="002F38DE" w:rsidRDefault="002F38DE" w:rsidP="002F38DE">
      <w:pPr>
        <w:pStyle w:val="Heading1Councilblue"/>
      </w:pPr>
    </w:p>
    <w:p w14:paraId="5E1CD0ED" w14:textId="537A3508" w:rsidR="003E757E" w:rsidRPr="000C6378" w:rsidRDefault="00265BD4" w:rsidP="002F38DE">
      <w:pPr>
        <w:pStyle w:val="Heading1Councilblue"/>
      </w:pPr>
      <w:r>
        <w:t xml:space="preserve">Annual Operational Plan Progress and </w:t>
      </w:r>
      <w:r w:rsidR="003E757E" w:rsidRPr="000C6378">
        <w:t xml:space="preserve">Quarterly </w:t>
      </w:r>
      <w:r>
        <w:t>Financial</w:t>
      </w:r>
      <w:r w:rsidR="003E757E" w:rsidRPr="000C6378">
        <w:t xml:space="preserve"> Report</w:t>
      </w:r>
    </w:p>
    <w:p w14:paraId="5FA4E353" w14:textId="77777777" w:rsidR="008C28F7" w:rsidRDefault="008C28F7" w:rsidP="002F38DE">
      <w:pPr>
        <w:pStyle w:val="Heading1Councilblue"/>
      </w:pPr>
    </w:p>
    <w:p w14:paraId="4D08CD5E" w14:textId="44CAEE7F" w:rsidR="00386B12" w:rsidRPr="000C6378" w:rsidRDefault="00EA7DAA" w:rsidP="002F38DE">
      <w:pPr>
        <w:pStyle w:val="Heading1Councilblue"/>
      </w:pPr>
      <w:r>
        <w:t>September</w:t>
      </w:r>
      <w:r w:rsidR="003E757E" w:rsidRPr="000C6378">
        <w:t xml:space="preserve"> 2022</w:t>
      </w:r>
    </w:p>
    <w:p w14:paraId="0E645256" w14:textId="65BB5FC5" w:rsidR="00386B12" w:rsidRDefault="00386B12" w:rsidP="00A80230">
      <w:pPr>
        <w:pStyle w:val="Heading2Councilblue"/>
        <w:sectPr w:rsidR="00386B12" w:rsidSect="00DA35DA">
          <w:headerReference w:type="even" r:id="rId8"/>
          <w:headerReference w:type="default" r:id="rId9"/>
          <w:footerReference w:type="even" r:id="rId10"/>
          <w:headerReference w:type="first" r:id="rId11"/>
          <w:footerReference w:type="first" r:id="rId12"/>
          <w:pgSz w:w="11900" w:h="16840"/>
          <w:pgMar w:top="1440" w:right="1440" w:bottom="1440" w:left="1440" w:header="708" w:footer="708" w:gutter="0"/>
          <w:cols w:space="708"/>
          <w:docGrid w:linePitch="360"/>
        </w:sectPr>
      </w:pPr>
    </w:p>
    <w:sdt>
      <w:sdtPr>
        <w:rPr>
          <w:rFonts w:asciiTheme="minorHAnsi" w:eastAsiaTheme="minorHAnsi" w:hAnsiTheme="minorHAnsi" w:cstheme="minorBidi"/>
          <w:b w:val="0"/>
          <w:color w:val="auto"/>
          <w:sz w:val="22"/>
          <w:szCs w:val="24"/>
          <w:lang w:val="en-GB"/>
        </w:rPr>
        <w:id w:val="-1403912738"/>
        <w:docPartObj>
          <w:docPartGallery w:val="Table of Contents"/>
          <w:docPartUnique/>
        </w:docPartObj>
      </w:sdtPr>
      <w:sdtEndPr>
        <w:rPr>
          <w:rFonts w:eastAsiaTheme="minorEastAsia" w:cs="Times New Roman"/>
          <w:szCs w:val="22"/>
          <w:lang w:val="en-US"/>
        </w:rPr>
      </w:sdtEndPr>
      <w:sdtContent>
        <w:p w14:paraId="7AA649AA" w14:textId="349BC032" w:rsidR="009F536A" w:rsidRPr="008C28F7" w:rsidRDefault="009F536A" w:rsidP="002F38DE">
          <w:pPr>
            <w:pStyle w:val="TOCHeading"/>
          </w:pPr>
          <w:r w:rsidRPr="008C28F7">
            <w:t>Table of Contents</w:t>
          </w:r>
        </w:p>
        <w:p w14:paraId="3D4FC248" w14:textId="77777777" w:rsidR="008C28F7" w:rsidRDefault="008C28F7" w:rsidP="0075173E">
          <w:pPr>
            <w:pStyle w:val="TOCHeading"/>
          </w:pPr>
        </w:p>
        <w:p w14:paraId="02CA7ED9" w14:textId="1E38A17F" w:rsidR="0075173E" w:rsidRDefault="009F536A">
          <w:pPr>
            <w:pStyle w:val="TOC2"/>
            <w:tabs>
              <w:tab w:val="right" w:leader="dot" w:pos="9622"/>
            </w:tabs>
            <w:rPr>
              <w:rFonts w:cstheme="minorBidi"/>
              <w:noProof/>
              <w:lang w:val="en-AU" w:eastAsia="en-AU"/>
            </w:rPr>
          </w:pPr>
          <w:r w:rsidRPr="00CC2DA7">
            <w:rPr>
              <w:rFonts w:cs="Arial"/>
            </w:rPr>
            <w:fldChar w:fldCharType="begin"/>
          </w:r>
          <w:r w:rsidRPr="00CC2DA7">
            <w:rPr>
              <w:rFonts w:cs="Arial"/>
            </w:rPr>
            <w:instrText xml:space="preserve"> TOC \o "1-3" \h \z \u </w:instrText>
          </w:r>
          <w:r w:rsidRPr="00CC2DA7">
            <w:rPr>
              <w:rFonts w:cs="Arial"/>
            </w:rPr>
            <w:fldChar w:fldCharType="separate"/>
          </w:r>
          <w:hyperlink w:anchor="_Toc127436747" w:history="1">
            <w:r w:rsidR="0075173E" w:rsidRPr="002507EB">
              <w:rPr>
                <w:rStyle w:val="Hyperlink"/>
                <w:noProof/>
              </w:rPr>
              <w:t>Section 1 – Quarterly Financial Report</w:t>
            </w:r>
            <w:r w:rsidR="0075173E">
              <w:rPr>
                <w:noProof/>
                <w:webHidden/>
              </w:rPr>
              <w:tab/>
            </w:r>
            <w:r w:rsidR="0075173E">
              <w:rPr>
                <w:noProof/>
                <w:webHidden/>
              </w:rPr>
              <w:fldChar w:fldCharType="begin"/>
            </w:r>
            <w:r w:rsidR="0075173E">
              <w:rPr>
                <w:noProof/>
                <w:webHidden/>
              </w:rPr>
              <w:instrText xml:space="preserve"> PAGEREF _Toc127436747 \h </w:instrText>
            </w:r>
            <w:r w:rsidR="0075173E">
              <w:rPr>
                <w:noProof/>
                <w:webHidden/>
              </w:rPr>
            </w:r>
            <w:r w:rsidR="0075173E">
              <w:rPr>
                <w:noProof/>
                <w:webHidden/>
              </w:rPr>
              <w:fldChar w:fldCharType="separate"/>
            </w:r>
            <w:r w:rsidR="0075173E">
              <w:rPr>
                <w:noProof/>
                <w:webHidden/>
              </w:rPr>
              <w:t>4</w:t>
            </w:r>
            <w:r w:rsidR="0075173E">
              <w:rPr>
                <w:noProof/>
                <w:webHidden/>
              </w:rPr>
              <w:fldChar w:fldCharType="end"/>
            </w:r>
          </w:hyperlink>
        </w:p>
        <w:p w14:paraId="2D70F132" w14:textId="4FAEEFEE" w:rsidR="0075173E" w:rsidRDefault="00612DE7">
          <w:pPr>
            <w:pStyle w:val="TOC3"/>
            <w:tabs>
              <w:tab w:val="right" w:leader="dot" w:pos="9622"/>
            </w:tabs>
            <w:rPr>
              <w:rFonts w:cstheme="minorBidi"/>
              <w:noProof/>
              <w:lang w:val="en-AU" w:eastAsia="en-AU"/>
            </w:rPr>
          </w:pPr>
          <w:hyperlink w:anchor="_Toc127436748" w:history="1">
            <w:r w:rsidR="0075173E" w:rsidRPr="002507EB">
              <w:rPr>
                <w:rStyle w:val="Hyperlink"/>
                <w:noProof/>
              </w:rPr>
              <w:t>Financial results</w:t>
            </w:r>
            <w:r w:rsidR="0075173E">
              <w:rPr>
                <w:noProof/>
                <w:webHidden/>
              </w:rPr>
              <w:tab/>
            </w:r>
            <w:r w:rsidR="0075173E">
              <w:rPr>
                <w:noProof/>
                <w:webHidden/>
              </w:rPr>
              <w:fldChar w:fldCharType="begin"/>
            </w:r>
            <w:r w:rsidR="0075173E">
              <w:rPr>
                <w:noProof/>
                <w:webHidden/>
              </w:rPr>
              <w:instrText xml:space="preserve"> PAGEREF _Toc127436748 \h </w:instrText>
            </w:r>
            <w:r w:rsidR="0075173E">
              <w:rPr>
                <w:noProof/>
                <w:webHidden/>
              </w:rPr>
            </w:r>
            <w:r w:rsidR="0075173E">
              <w:rPr>
                <w:noProof/>
                <w:webHidden/>
              </w:rPr>
              <w:fldChar w:fldCharType="separate"/>
            </w:r>
            <w:r w:rsidR="0075173E">
              <w:rPr>
                <w:noProof/>
                <w:webHidden/>
              </w:rPr>
              <w:t>5</w:t>
            </w:r>
            <w:r w:rsidR="0075173E">
              <w:rPr>
                <w:noProof/>
                <w:webHidden/>
              </w:rPr>
              <w:fldChar w:fldCharType="end"/>
            </w:r>
          </w:hyperlink>
        </w:p>
        <w:p w14:paraId="60E1E501" w14:textId="3CAD6F67" w:rsidR="0075173E" w:rsidRDefault="00612DE7">
          <w:pPr>
            <w:pStyle w:val="TOC3"/>
            <w:tabs>
              <w:tab w:val="right" w:leader="dot" w:pos="9622"/>
            </w:tabs>
            <w:rPr>
              <w:rFonts w:cstheme="minorBidi"/>
              <w:noProof/>
              <w:lang w:val="en-AU" w:eastAsia="en-AU"/>
            </w:rPr>
          </w:pPr>
          <w:hyperlink w:anchor="_Toc127436749" w:history="1">
            <w:r w:rsidR="0075173E" w:rsidRPr="002507EB">
              <w:rPr>
                <w:rStyle w:val="Hyperlink"/>
                <w:noProof/>
              </w:rPr>
              <w:t>Statement of comprehensive income</w:t>
            </w:r>
            <w:r w:rsidR="0075173E">
              <w:rPr>
                <w:noProof/>
                <w:webHidden/>
              </w:rPr>
              <w:tab/>
            </w:r>
            <w:r w:rsidR="0075173E">
              <w:rPr>
                <w:noProof/>
                <w:webHidden/>
              </w:rPr>
              <w:fldChar w:fldCharType="begin"/>
            </w:r>
            <w:r w:rsidR="0075173E">
              <w:rPr>
                <w:noProof/>
                <w:webHidden/>
              </w:rPr>
              <w:instrText xml:space="preserve"> PAGEREF _Toc127436749 \h </w:instrText>
            </w:r>
            <w:r w:rsidR="0075173E">
              <w:rPr>
                <w:noProof/>
                <w:webHidden/>
              </w:rPr>
            </w:r>
            <w:r w:rsidR="0075173E">
              <w:rPr>
                <w:noProof/>
                <w:webHidden/>
              </w:rPr>
              <w:fldChar w:fldCharType="separate"/>
            </w:r>
            <w:r w:rsidR="0075173E">
              <w:rPr>
                <w:noProof/>
                <w:webHidden/>
              </w:rPr>
              <w:t>9</w:t>
            </w:r>
            <w:r w:rsidR="0075173E">
              <w:rPr>
                <w:noProof/>
                <w:webHidden/>
              </w:rPr>
              <w:fldChar w:fldCharType="end"/>
            </w:r>
          </w:hyperlink>
        </w:p>
        <w:p w14:paraId="551B400A" w14:textId="6C72C395" w:rsidR="0075173E" w:rsidRDefault="00612DE7">
          <w:pPr>
            <w:pStyle w:val="TOC3"/>
            <w:tabs>
              <w:tab w:val="right" w:leader="dot" w:pos="9622"/>
            </w:tabs>
            <w:rPr>
              <w:rFonts w:cstheme="minorBidi"/>
              <w:noProof/>
              <w:lang w:val="en-AU" w:eastAsia="en-AU"/>
            </w:rPr>
          </w:pPr>
          <w:hyperlink w:anchor="_Toc127436750" w:history="1">
            <w:r w:rsidR="0075173E" w:rsidRPr="002507EB">
              <w:rPr>
                <w:rStyle w:val="Hyperlink"/>
                <w:noProof/>
              </w:rPr>
              <w:t>Statement of financial position</w:t>
            </w:r>
            <w:r w:rsidR="0075173E">
              <w:rPr>
                <w:noProof/>
                <w:webHidden/>
              </w:rPr>
              <w:tab/>
            </w:r>
            <w:r w:rsidR="0075173E">
              <w:rPr>
                <w:noProof/>
                <w:webHidden/>
              </w:rPr>
              <w:fldChar w:fldCharType="begin"/>
            </w:r>
            <w:r w:rsidR="0075173E">
              <w:rPr>
                <w:noProof/>
                <w:webHidden/>
              </w:rPr>
              <w:instrText xml:space="preserve"> PAGEREF _Toc127436750 \h </w:instrText>
            </w:r>
            <w:r w:rsidR="0075173E">
              <w:rPr>
                <w:noProof/>
                <w:webHidden/>
              </w:rPr>
            </w:r>
            <w:r w:rsidR="0075173E">
              <w:rPr>
                <w:noProof/>
                <w:webHidden/>
              </w:rPr>
              <w:fldChar w:fldCharType="separate"/>
            </w:r>
            <w:r w:rsidR="0075173E">
              <w:rPr>
                <w:noProof/>
                <w:webHidden/>
              </w:rPr>
              <w:t>10</w:t>
            </w:r>
            <w:r w:rsidR="0075173E">
              <w:rPr>
                <w:noProof/>
                <w:webHidden/>
              </w:rPr>
              <w:fldChar w:fldCharType="end"/>
            </w:r>
          </w:hyperlink>
        </w:p>
        <w:p w14:paraId="11748FF6" w14:textId="2DBC5973" w:rsidR="0075173E" w:rsidRDefault="00612DE7">
          <w:pPr>
            <w:pStyle w:val="TOC3"/>
            <w:tabs>
              <w:tab w:val="right" w:leader="dot" w:pos="9622"/>
            </w:tabs>
            <w:rPr>
              <w:rFonts w:cstheme="minorBidi"/>
              <w:noProof/>
              <w:lang w:val="en-AU" w:eastAsia="en-AU"/>
            </w:rPr>
          </w:pPr>
          <w:hyperlink w:anchor="_Toc127436751" w:history="1">
            <w:r w:rsidR="0075173E" w:rsidRPr="002507EB">
              <w:rPr>
                <w:rStyle w:val="Hyperlink"/>
                <w:noProof/>
              </w:rPr>
              <w:t>Statement of changes in equity</w:t>
            </w:r>
            <w:r w:rsidR="0075173E">
              <w:rPr>
                <w:noProof/>
                <w:webHidden/>
              </w:rPr>
              <w:tab/>
            </w:r>
            <w:r w:rsidR="0075173E">
              <w:rPr>
                <w:noProof/>
                <w:webHidden/>
              </w:rPr>
              <w:fldChar w:fldCharType="begin"/>
            </w:r>
            <w:r w:rsidR="0075173E">
              <w:rPr>
                <w:noProof/>
                <w:webHidden/>
              </w:rPr>
              <w:instrText xml:space="preserve"> PAGEREF _Toc127436751 \h </w:instrText>
            </w:r>
            <w:r w:rsidR="0075173E">
              <w:rPr>
                <w:noProof/>
                <w:webHidden/>
              </w:rPr>
            </w:r>
            <w:r w:rsidR="0075173E">
              <w:rPr>
                <w:noProof/>
                <w:webHidden/>
              </w:rPr>
              <w:fldChar w:fldCharType="separate"/>
            </w:r>
            <w:r w:rsidR="0075173E">
              <w:rPr>
                <w:noProof/>
                <w:webHidden/>
              </w:rPr>
              <w:t>11</w:t>
            </w:r>
            <w:r w:rsidR="0075173E">
              <w:rPr>
                <w:noProof/>
                <w:webHidden/>
              </w:rPr>
              <w:fldChar w:fldCharType="end"/>
            </w:r>
          </w:hyperlink>
        </w:p>
        <w:p w14:paraId="3FC3790E" w14:textId="5DD02C41" w:rsidR="0075173E" w:rsidRDefault="00612DE7">
          <w:pPr>
            <w:pStyle w:val="TOC3"/>
            <w:tabs>
              <w:tab w:val="right" w:leader="dot" w:pos="9622"/>
            </w:tabs>
            <w:rPr>
              <w:rFonts w:cstheme="minorBidi"/>
              <w:noProof/>
              <w:lang w:val="en-AU" w:eastAsia="en-AU"/>
            </w:rPr>
          </w:pPr>
          <w:hyperlink w:anchor="_Toc127436752" w:history="1">
            <w:r w:rsidR="0075173E" w:rsidRPr="002507EB">
              <w:rPr>
                <w:rStyle w:val="Hyperlink"/>
                <w:noProof/>
              </w:rPr>
              <w:t>Statement of cash flows</w:t>
            </w:r>
            <w:r w:rsidR="0075173E">
              <w:rPr>
                <w:noProof/>
                <w:webHidden/>
              </w:rPr>
              <w:tab/>
            </w:r>
            <w:r w:rsidR="0075173E">
              <w:rPr>
                <w:noProof/>
                <w:webHidden/>
              </w:rPr>
              <w:fldChar w:fldCharType="begin"/>
            </w:r>
            <w:r w:rsidR="0075173E">
              <w:rPr>
                <w:noProof/>
                <w:webHidden/>
              </w:rPr>
              <w:instrText xml:space="preserve"> PAGEREF _Toc127436752 \h </w:instrText>
            </w:r>
            <w:r w:rsidR="0075173E">
              <w:rPr>
                <w:noProof/>
                <w:webHidden/>
              </w:rPr>
            </w:r>
            <w:r w:rsidR="0075173E">
              <w:rPr>
                <w:noProof/>
                <w:webHidden/>
              </w:rPr>
              <w:fldChar w:fldCharType="separate"/>
            </w:r>
            <w:r w:rsidR="0075173E">
              <w:rPr>
                <w:noProof/>
                <w:webHidden/>
              </w:rPr>
              <w:t>12</w:t>
            </w:r>
            <w:r w:rsidR="0075173E">
              <w:rPr>
                <w:noProof/>
                <w:webHidden/>
              </w:rPr>
              <w:fldChar w:fldCharType="end"/>
            </w:r>
          </w:hyperlink>
        </w:p>
        <w:p w14:paraId="4907D9C3" w14:textId="61F03905" w:rsidR="0075173E" w:rsidRDefault="00612DE7">
          <w:pPr>
            <w:pStyle w:val="TOC2"/>
            <w:tabs>
              <w:tab w:val="right" w:leader="dot" w:pos="9622"/>
            </w:tabs>
            <w:rPr>
              <w:rFonts w:cstheme="minorBidi"/>
              <w:noProof/>
              <w:lang w:val="en-AU" w:eastAsia="en-AU"/>
            </w:rPr>
          </w:pPr>
          <w:hyperlink w:anchor="_Toc127436753" w:history="1">
            <w:r w:rsidR="0075173E" w:rsidRPr="002507EB">
              <w:rPr>
                <w:rStyle w:val="Hyperlink"/>
                <w:noProof/>
              </w:rPr>
              <w:t>Section 2 – Annual Operational Plan Progress Report</w:t>
            </w:r>
            <w:r w:rsidR="0075173E">
              <w:rPr>
                <w:noProof/>
                <w:webHidden/>
              </w:rPr>
              <w:tab/>
            </w:r>
            <w:r w:rsidR="0075173E">
              <w:rPr>
                <w:noProof/>
                <w:webHidden/>
              </w:rPr>
              <w:fldChar w:fldCharType="begin"/>
            </w:r>
            <w:r w:rsidR="0075173E">
              <w:rPr>
                <w:noProof/>
                <w:webHidden/>
              </w:rPr>
              <w:instrText xml:space="preserve"> PAGEREF _Toc127436753 \h </w:instrText>
            </w:r>
            <w:r w:rsidR="0075173E">
              <w:rPr>
                <w:noProof/>
                <w:webHidden/>
              </w:rPr>
            </w:r>
            <w:r w:rsidR="0075173E">
              <w:rPr>
                <w:noProof/>
                <w:webHidden/>
              </w:rPr>
              <w:fldChar w:fldCharType="separate"/>
            </w:r>
            <w:r w:rsidR="0075173E">
              <w:rPr>
                <w:noProof/>
                <w:webHidden/>
              </w:rPr>
              <w:t>13</w:t>
            </w:r>
            <w:r w:rsidR="0075173E">
              <w:rPr>
                <w:noProof/>
                <w:webHidden/>
              </w:rPr>
              <w:fldChar w:fldCharType="end"/>
            </w:r>
          </w:hyperlink>
        </w:p>
        <w:p w14:paraId="4D39F936" w14:textId="10E0175C" w:rsidR="0075173E" w:rsidRDefault="00612DE7">
          <w:pPr>
            <w:pStyle w:val="TOC3"/>
            <w:tabs>
              <w:tab w:val="right" w:leader="dot" w:pos="9622"/>
            </w:tabs>
            <w:rPr>
              <w:rFonts w:cstheme="minorBidi"/>
              <w:noProof/>
              <w:lang w:val="en-AU" w:eastAsia="en-AU"/>
            </w:rPr>
          </w:pPr>
          <w:hyperlink w:anchor="_Toc127436754" w:history="1">
            <w:r w:rsidR="0075173E" w:rsidRPr="002507EB">
              <w:rPr>
                <w:rStyle w:val="Hyperlink"/>
                <w:noProof/>
              </w:rPr>
              <w:t>Program 1 – Transport for Brisbane</w:t>
            </w:r>
            <w:r w:rsidR="0075173E">
              <w:rPr>
                <w:noProof/>
                <w:webHidden/>
              </w:rPr>
              <w:tab/>
            </w:r>
            <w:r w:rsidR="0075173E">
              <w:rPr>
                <w:noProof/>
                <w:webHidden/>
              </w:rPr>
              <w:fldChar w:fldCharType="begin"/>
            </w:r>
            <w:r w:rsidR="0075173E">
              <w:rPr>
                <w:noProof/>
                <w:webHidden/>
              </w:rPr>
              <w:instrText xml:space="preserve"> PAGEREF _Toc127436754 \h </w:instrText>
            </w:r>
            <w:r w:rsidR="0075173E">
              <w:rPr>
                <w:noProof/>
                <w:webHidden/>
              </w:rPr>
            </w:r>
            <w:r w:rsidR="0075173E">
              <w:rPr>
                <w:noProof/>
                <w:webHidden/>
              </w:rPr>
              <w:fldChar w:fldCharType="separate"/>
            </w:r>
            <w:r w:rsidR="0075173E">
              <w:rPr>
                <w:noProof/>
                <w:webHidden/>
              </w:rPr>
              <w:t>14</w:t>
            </w:r>
            <w:r w:rsidR="0075173E">
              <w:rPr>
                <w:noProof/>
                <w:webHidden/>
              </w:rPr>
              <w:fldChar w:fldCharType="end"/>
            </w:r>
          </w:hyperlink>
        </w:p>
        <w:p w14:paraId="441A719F" w14:textId="744B2C5E" w:rsidR="0075173E" w:rsidRDefault="00612DE7">
          <w:pPr>
            <w:pStyle w:val="TOC3"/>
            <w:tabs>
              <w:tab w:val="right" w:leader="dot" w:pos="9622"/>
            </w:tabs>
            <w:rPr>
              <w:rFonts w:cstheme="minorBidi"/>
              <w:noProof/>
              <w:lang w:val="en-AU" w:eastAsia="en-AU"/>
            </w:rPr>
          </w:pPr>
          <w:hyperlink w:anchor="_Toc127436755" w:history="1">
            <w:r w:rsidR="0075173E" w:rsidRPr="002507EB">
              <w:rPr>
                <w:rStyle w:val="Hyperlink"/>
                <w:noProof/>
              </w:rPr>
              <w:t>Program 2 – Infrastructure for Brisbane</w:t>
            </w:r>
            <w:r w:rsidR="0075173E">
              <w:rPr>
                <w:noProof/>
                <w:webHidden/>
              </w:rPr>
              <w:tab/>
            </w:r>
            <w:r w:rsidR="0075173E">
              <w:rPr>
                <w:noProof/>
                <w:webHidden/>
              </w:rPr>
              <w:fldChar w:fldCharType="begin"/>
            </w:r>
            <w:r w:rsidR="0075173E">
              <w:rPr>
                <w:noProof/>
                <w:webHidden/>
              </w:rPr>
              <w:instrText xml:space="preserve"> PAGEREF _Toc127436755 \h </w:instrText>
            </w:r>
            <w:r w:rsidR="0075173E">
              <w:rPr>
                <w:noProof/>
                <w:webHidden/>
              </w:rPr>
            </w:r>
            <w:r w:rsidR="0075173E">
              <w:rPr>
                <w:noProof/>
                <w:webHidden/>
              </w:rPr>
              <w:fldChar w:fldCharType="separate"/>
            </w:r>
            <w:r w:rsidR="0075173E">
              <w:rPr>
                <w:noProof/>
                <w:webHidden/>
              </w:rPr>
              <w:t>16</w:t>
            </w:r>
            <w:r w:rsidR="0075173E">
              <w:rPr>
                <w:noProof/>
                <w:webHidden/>
              </w:rPr>
              <w:fldChar w:fldCharType="end"/>
            </w:r>
          </w:hyperlink>
        </w:p>
        <w:p w14:paraId="4585B4E8" w14:textId="7434E1BD" w:rsidR="0075173E" w:rsidRDefault="00612DE7">
          <w:pPr>
            <w:pStyle w:val="TOC3"/>
            <w:tabs>
              <w:tab w:val="right" w:leader="dot" w:pos="9622"/>
            </w:tabs>
            <w:rPr>
              <w:rFonts w:cstheme="minorBidi"/>
              <w:noProof/>
              <w:lang w:val="en-AU" w:eastAsia="en-AU"/>
            </w:rPr>
          </w:pPr>
          <w:hyperlink w:anchor="_Toc127436756" w:history="1">
            <w:r w:rsidR="0075173E" w:rsidRPr="002507EB">
              <w:rPr>
                <w:rStyle w:val="Hyperlink"/>
                <w:noProof/>
              </w:rPr>
              <w:t>Program 3 – Clean, Green and Sustainable City</w:t>
            </w:r>
            <w:r w:rsidR="0075173E">
              <w:rPr>
                <w:noProof/>
                <w:webHidden/>
              </w:rPr>
              <w:tab/>
            </w:r>
            <w:r w:rsidR="0075173E">
              <w:rPr>
                <w:noProof/>
                <w:webHidden/>
              </w:rPr>
              <w:fldChar w:fldCharType="begin"/>
            </w:r>
            <w:r w:rsidR="0075173E">
              <w:rPr>
                <w:noProof/>
                <w:webHidden/>
              </w:rPr>
              <w:instrText xml:space="preserve"> PAGEREF _Toc127436756 \h </w:instrText>
            </w:r>
            <w:r w:rsidR="0075173E">
              <w:rPr>
                <w:noProof/>
                <w:webHidden/>
              </w:rPr>
            </w:r>
            <w:r w:rsidR="0075173E">
              <w:rPr>
                <w:noProof/>
                <w:webHidden/>
              </w:rPr>
              <w:fldChar w:fldCharType="separate"/>
            </w:r>
            <w:r w:rsidR="0075173E">
              <w:rPr>
                <w:noProof/>
                <w:webHidden/>
              </w:rPr>
              <w:t>18</w:t>
            </w:r>
            <w:r w:rsidR="0075173E">
              <w:rPr>
                <w:noProof/>
                <w:webHidden/>
              </w:rPr>
              <w:fldChar w:fldCharType="end"/>
            </w:r>
          </w:hyperlink>
        </w:p>
        <w:p w14:paraId="357A0172" w14:textId="7A11ECC6" w:rsidR="0075173E" w:rsidRDefault="00612DE7">
          <w:pPr>
            <w:pStyle w:val="TOC3"/>
            <w:tabs>
              <w:tab w:val="right" w:leader="dot" w:pos="9622"/>
            </w:tabs>
            <w:rPr>
              <w:rFonts w:cstheme="minorBidi"/>
              <w:noProof/>
              <w:lang w:val="en-AU" w:eastAsia="en-AU"/>
            </w:rPr>
          </w:pPr>
          <w:hyperlink w:anchor="_Toc127436757" w:history="1">
            <w:r w:rsidR="0075173E" w:rsidRPr="002507EB">
              <w:rPr>
                <w:rStyle w:val="Hyperlink"/>
                <w:noProof/>
              </w:rPr>
              <w:t>Program 4 – Future Brisbane</w:t>
            </w:r>
            <w:r w:rsidR="0075173E">
              <w:rPr>
                <w:noProof/>
                <w:webHidden/>
              </w:rPr>
              <w:tab/>
            </w:r>
            <w:r w:rsidR="0075173E">
              <w:rPr>
                <w:noProof/>
                <w:webHidden/>
              </w:rPr>
              <w:fldChar w:fldCharType="begin"/>
            </w:r>
            <w:r w:rsidR="0075173E">
              <w:rPr>
                <w:noProof/>
                <w:webHidden/>
              </w:rPr>
              <w:instrText xml:space="preserve"> PAGEREF _Toc127436757 \h </w:instrText>
            </w:r>
            <w:r w:rsidR="0075173E">
              <w:rPr>
                <w:noProof/>
                <w:webHidden/>
              </w:rPr>
            </w:r>
            <w:r w:rsidR="0075173E">
              <w:rPr>
                <w:noProof/>
                <w:webHidden/>
              </w:rPr>
              <w:fldChar w:fldCharType="separate"/>
            </w:r>
            <w:r w:rsidR="0075173E">
              <w:rPr>
                <w:noProof/>
                <w:webHidden/>
              </w:rPr>
              <w:t>21</w:t>
            </w:r>
            <w:r w:rsidR="0075173E">
              <w:rPr>
                <w:noProof/>
                <w:webHidden/>
              </w:rPr>
              <w:fldChar w:fldCharType="end"/>
            </w:r>
          </w:hyperlink>
        </w:p>
        <w:p w14:paraId="24965219" w14:textId="0D5FBBB8" w:rsidR="0075173E" w:rsidRDefault="00612DE7">
          <w:pPr>
            <w:pStyle w:val="TOC3"/>
            <w:tabs>
              <w:tab w:val="right" w:leader="dot" w:pos="9622"/>
            </w:tabs>
            <w:rPr>
              <w:rFonts w:cstheme="minorBidi"/>
              <w:noProof/>
              <w:lang w:val="en-AU" w:eastAsia="en-AU"/>
            </w:rPr>
          </w:pPr>
          <w:hyperlink w:anchor="_Toc127436758" w:history="1">
            <w:r w:rsidR="0075173E" w:rsidRPr="002507EB">
              <w:rPr>
                <w:rStyle w:val="Hyperlink"/>
                <w:noProof/>
              </w:rPr>
              <w:t>Program 5 – Lifestyle and Community Services</w:t>
            </w:r>
            <w:r w:rsidR="0075173E">
              <w:rPr>
                <w:noProof/>
                <w:webHidden/>
              </w:rPr>
              <w:tab/>
            </w:r>
            <w:r w:rsidR="0075173E">
              <w:rPr>
                <w:noProof/>
                <w:webHidden/>
              </w:rPr>
              <w:fldChar w:fldCharType="begin"/>
            </w:r>
            <w:r w:rsidR="0075173E">
              <w:rPr>
                <w:noProof/>
                <w:webHidden/>
              </w:rPr>
              <w:instrText xml:space="preserve"> PAGEREF _Toc127436758 \h </w:instrText>
            </w:r>
            <w:r w:rsidR="0075173E">
              <w:rPr>
                <w:noProof/>
                <w:webHidden/>
              </w:rPr>
            </w:r>
            <w:r w:rsidR="0075173E">
              <w:rPr>
                <w:noProof/>
                <w:webHidden/>
              </w:rPr>
              <w:fldChar w:fldCharType="separate"/>
            </w:r>
            <w:r w:rsidR="0075173E">
              <w:rPr>
                <w:noProof/>
                <w:webHidden/>
              </w:rPr>
              <w:t>23</w:t>
            </w:r>
            <w:r w:rsidR="0075173E">
              <w:rPr>
                <w:noProof/>
                <w:webHidden/>
              </w:rPr>
              <w:fldChar w:fldCharType="end"/>
            </w:r>
          </w:hyperlink>
        </w:p>
        <w:p w14:paraId="35D86133" w14:textId="06C766B9" w:rsidR="0075173E" w:rsidRDefault="00612DE7">
          <w:pPr>
            <w:pStyle w:val="TOC3"/>
            <w:tabs>
              <w:tab w:val="right" w:leader="dot" w:pos="9622"/>
            </w:tabs>
            <w:rPr>
              <w:rFonts w:cstheme="minorBidi"/>
              <w:noProof/>
              <w:lang w:val="en-AU" w:eastAsia="en-AU"/>
            </w:rPr>
          </w:pPr>
          <w:hyperlink w:anchor="_Toc127436759" w:history="1">
            <w:r w:rsidR="0075173E" w:rsidRPr="002507EB">
              <w:rPr>
                <w:rStyle w:val="Hyperlink"/>
                <w:noProof/>
              </w:rPr>
              <w:t>Program 6 – City Standards, Community Health and Safety</w:t>
            </w:r>
            <w:r w:rsidR="0075173E">
              <w:rPr>
                <w:noProof/>
                <w:webHidden/>
              </w:rPr>
              <w:tab/>
            </w:r>
            <w:r w:rsidR="0075173E">
              <w:rPr>
                <w:noProof/>
                <w:webHidden/>
              </w:rPr>
              <w:fldChar w:fldCharType="begin"/>
            </w:r>
            <w:r w:rsidR="0075173E">
              <w:rPr>
                <w:noProof/>
                <w:webHidden/>
              </w:rPr>
              <w:instrText xml:space="preserve"> PAGEREF _Toc127436759 \h </w:instrText>
            </w:r>
            <w:r w:rsidR="0075173E">
              <w:rPr>
                <w:noProof/>
                <w:webHidden/>
              </w:rPr>
            </w:r>
            <w:r w:rsidR="0075173E">
              <w:rPr>
                <w:noProof/>
                <w:webHidden/>
              </w:rPr>
              <w:fldChar w:fldCharType="separate"/>
            </w:r>
            <w:r w:rsidR="0075173E">
              <w:rPr>
                <w:noProof/>
                <w:webHidden/>
              </w:rPr>
              <w:t>26</w:t>
            </w:r>
            <w:r w:rsidR="0075173E">
              <w:rPr>
                <w:noProof/>
                <w:webHidden/>
              </w:rPr>
              <w:fldChar w:fldCharType="end"/>
            </w:r>
          </w:hyperlink>
        </w:p>
        <w:p w14:paraId="4915AC61" w14:textId="31F6EC0B" w:rsidR="0075173E" w:rsidRDefault="00612DE7">
          <w:pPr>
            <w:pStyle w:val="TOC3"/>
            <w:tabs>
              <w:tab w:val="right" w:leader="dot" w:pos="9622"/>
            </w:tabs>
            <w:rPr>
              <w:rFonts w:cstheme="minorBidi"/>
              <w:noProof/>
              <w:lang w:val="en-AU" w:eastAsia="en-AU"/>
            </w:rPr>
          </w:pPr>
          <w:hyperlink w:anchor="_Toc127436760" w:history="1">
            <w:r w:rsidR="0075173E" w:rsidRPr="002507EB">
              <w:rPr>
                <w:rStyle w:val="Hyperlink"/>
                <w:noProof/>
              </w:rPr>
              <w:t>Program 7 – Economic Development</w:t>
            </w:r>
            <w:r w:rsidR="0075173E">
              <w:rPr>
                <w:noProof/>
                <w:webHidden/>
              </w:rPr>
              <w:tab/>
            </w:r>
            <w:r w:rsidR="0075173E">
              <w:rPr>
                <w:noProof/>
                <w:webHidden/>
              </w:rPr>
              <w:fldChar w:fldCharType="begin"/>
            </w:r>
            <w:r w:rsidR="0075173E">
              <w:rPr>
                <w:noProof/>
                <w:webHidden/>
              </w:rPr>
              <w:instrText xml:space="preserve"> PAGEREF _Toc127436760 \h </w:instrText>
            </w:r>
            <w:r w:rsidR="0075173E">
              <w:rPr>
                <w:noProof/>
                <w:webHidden/>
              </w:rPr>
            </w:r>
            <w:r w:rsidR="0075173E">
              <w:rPr>
                <w:noProof/>
                <w:webHidden/>
              </w:rPr>
              <w:fldChar w:fldCharType="separate"/>
            </w:r>
            <w:r w:rsidR="0075173E">
              <w:rPr>
                <w:noProof/>
                <w:webHidden/>
              </w:rPr>
              <w:t>28</w:t>
            </w:r>
            <w:r w:rsidR="0075173E">
              <w:rPr>
                <w:noProof/>
                <w:webHidden/>
              </w:rPr>
              <w:fldChar w:fldCharType="end"/>
            </w:r>
          </w:hyperlink>
        </w:p>
        <w:p w14:paraId="5F82F0AF" w14:textId="12A3F921" w:rsidR="0075173E" w:rsidRDefault="00612DE7">
          <w:pPr>
            <w:pStyle w:val="TOC3"/>
            <w:tabs>
              <w:tab w:val="right" w:leader="dot" w:pos="9622"/>
            </w:tabs>
            <w:rPr>
              <w:rFonts w:cstheme="minorBidi"/>
              <w:noProof/>
              <w:lang w:val="en-AU" w:eastAsia="en-AU"/>
            </w:rPr>
          </w:pPr>
          <w:hyperlink w:anchor="_Toc127436761" w:history="1">
            <w:r w:rsidR="0075173E" w:rsidRPr="002507EB">
              <w:rPr>
                <w:rStyle w:val="Hyperlink"/>
                <w:noProof/>
              </w:rPr>
              <w:t>Program 8 – City Governance</w:t>
            </w:r>
            <w:r w:rsidR="0075173E">
              <w:rPr>
                <w:noProof/>
                <w:webHidden/>
              </w:rPr>
              <w:tab/>
            </w:r>
            <w:r w:rsidR="0075173E">
              <w:rPr>
                <w:noProof/>
                <w:webHidden/>
              </w:rPr>
              <w:fldChar w:fldCharType="begin"/>
            </w:r>
            <w:r w:rsidR="0075173E">
              <w:rPr>
                <w:noProof/>
                <w:webHidden/>
              </w:rPr>
              <w:instrText xml:space="preserve"> PAGEREF _Toc127436761 \h </w:instrText>
            </w:r>
            <w:r w:rsidR="0075173E">
              <w:rPr>
                <w:noProof/>
                <w:webHidden/>
              </w:rPr>
            </w:r>
            <w:r w:rsidR="0075173E">
              <w:rPr>
                <w:noProof/>
                <w:webHidden/>
              </w:rPr>
              <w:fldChar w:fldCharType="separate"/>
            </w:r>
            <w:r w:rsidR="0075173E">
              <w:rPr>
                <w:noProof/>
                <w:webHidden/>
              </w:rPr>
              <w:t>31</w:t>
            </w:r>
            <w:r w:rsidR="0075173E">
              <w:rPr>
                <w:noProof/>
                <w:webHidden/>
              </w:rPr>
              <w:fldChar w:fldCharType="end"/>
            </w:r>
          </w:hyperlink>
        </w:p>
        <w:p w14:paraId="3D58558C" w14:textId="7A2DDB20" w:rsidR="0075173E" w:rsidRDefault="00612DE7">
          <w:pPr>
            <w:pStyle w:val="TOC3"/>
            <w:tabs>
              <w:tab w:val="right" w:leader="dot" w:pos="9622"/>
            </w:tabs>
            <w:rPr>
              <w:rFonts w:cstheme="minorBidi"/>
              <w:noProof/>
              <w:lang w:val="en-AU" w:eastAsia="en-AU"/>
            </w:rPr>
          </w:pPr>
          <w:hyperlink w:anchor="_Toc127436762" w:history="1">
            <w:r w:rsidR="0075173E" w:rsidRPr="002507EB">
              <w:rPr>
                <w:rStyle w:val="Hyperlink"/>
                <w:noProof/>
              </w:rPr>
              <w:t>Businesses</w:t>
            </w:r>
            <w:r w:rsidR="0075173E">
              <w:rPr>
                <w:noProof/>
                <w:webHidden/>
              </w:rPr>
              <w:tab/>
            </w:r>
            <w:r w:rsidR="0075173E">
              <w:rPr>
                <w:noProof/>
                <w:webHidden/>
              </w:rPr>
              <w:fldChar w:fldCharType="begin"/>
            </w:r>
            <w:r w:rsidR="0075173E">
              <w:rPr>
                <w:noProof/>
                <w:webHidden/>
              </w:rPr>
              <w:instrText xml:space="preserve"> PAGEREF _Toc127436762 \h </w:instrText>
            </w:r>
            <w:r w:rsidR="0075173E">
              <w:rPr>
                <w:noProof/>
                <w:webHidden/>
              </w:rPr>
            </w:r>
            <w:r w:rsidR="0075173E">
              <w:rPr>
                <w:noProof/>
                <w:webHidden/>
              </w:rPr>
              <w:fldChar w:fldCharType="separate"/>
            </w:r>
            <w:r w:rsidR="0075173E">
              <w:rPr>
                <w:noProof/>
                <w:webHidden/>
              </w:rPr>
              <w:t>34</w:t>
            </w:r>
            <w:r w:rsidR="0075173E">
              <w:rPr>
                <w:noProof/>
                <w:webHidden/>
              </w:rPr>
              <w:fldChar w:fldCharType="end"/>
            </w:r>
          </w:hyperlink>
        </w:p>
        <w:p w14:paraId="00D6ABE3" w14:textId="33C969EA" w:rsidR="0075173E" w:rsidRDefault="00612DE7">
          <w:pPr>
            <w:pStyle w:val="TOC2"/>
            <w:tabs>
              <w:tab w:val="right" w:leader="dot" w:pos="9622"/>
            </w:tabs>
            <w:rPr>
              <w:rFonts w:cstheme="minorBidi"/>
              <w:noProof/>
              <w:lang w:val="en-AU" w:eastAsia="en-AU"/>
            </w:rPr>
          </w:pPr>
          <w:hyperlink w:anchor="_Toc127436763" w:history="1">
            <w:r w:rsidR="0075173E" w:rsidRPr="002507EB">
              <w:rPr>
                <w:rStyle w:val="Hyperlink"/>
                <w:noProof/>
              </w:rPr>
              <w:t>Section 3 – Commercialised Businesses</w:t>
            </w:r>
            <w:r w:rsidR="0075173E">
              <w:rPr>
                <w:noProof/>
                <w:webHidden/>
              </w:rPr>
              <w:tab/>
            </w:r>
            <w:r w:rsidR="0075173E">
              <w:rPr>
                <w:noProof/>
                <w:webHidden/>
              </w:rPr>
              <w:fldChar w:fldCharType="begin"/>
            </w:r>
            <w:r w:rsidR="0075173E">
              <w:rPr>
                <w:noProof/>
                <w:webHidden/>
              </w:rPr>
              <w:instrText xml:space="preserve"> PAGEREF _Toc127436763 \h </w:instrText>
            </w:r>
            <w:r w:rsidR="0075173E">
              <w:rPr>
                <w:noProof/>
                <w:webHidden/>
              </w:rPr>
            </w:r>
            <w:r w:rsidR="0075173E">
              <w:rPr>
                <w:noProof/>
                <w:webHidden/>
              </w:rPr>
              <w:fldChar w:fldCharType="separate"/>
            </w:r>
            <w:r w:rsidR="0075173E">
              <w:rPr>
                <w:noProof/>
                <w:webHidden/>
              </w:rPr>
              <w:t>36</w:t>
            </w:r>
            <w:r w:rsidR="0075173E">
              <w:rPr>
                <w:noProof/>
                <w:webHidden/>
              </w:rPr>
              <w:fldChar w:fldCharType="end"/>
            </w:r>
          </w:hyperlink>
        </w:p>
        <w:p w14:paraId="468CD6A4" w14:textId="02A2ADC6" w:rsidR="0075173E" w:rsidRDefault="00612DE7">
          <w:pPr>
            <w:pStyle w:val="TOC3"/>
            <w:tabs>
              <w:tab w:val="right" w:leader="dot" w:pos="9622"/>
            </w:tabs>
            <w:rPr>
              <w:rFonts w:cstheme="minorBidi"/>
              <w:noProof/>
              <w:lang w:val="en-AU" w:eastAsia="en-AU"/>
            </w:rPr>
          </w:pPr>
          <w:hyperlink w:anchor="_Toc127436764" w:history="1">
            <w:r w:rsidR="0075173E" w:rsidRPr="002507EB">
              <w:rPr>
                <w:rStyle w:val="Hyperlink"/>
                <w:noProof/>
              </w:rPr>
              <w:t>Transport for Brisbane</w:t>
            </w:r>
            <w:r w:rsidR="0075173E">
              <w:rPr>
                <w:noProof/>
                <w:webHidden/>
              </w:rPr>
              <w:tab/>
            </w:r>
            <w:r w:rsidR="0075173E">
              <w:rPr>
                <w:noProof/>
                <w:webHidden/>
              </w:rPr>
              <w:fldChar w:fldCharType="begin"/>
            </w:r>
            <w:r w:rsidR="0075173E">
              <w:rPr>
                <w:noProof/>
                <w:webHidden/>
              </w:rPr>
              <w:instrText xml:space="preserve"> PAGEREF _Toc127436764 \h </w:instrText>
            </w:r>
            <w:r w:rsidR="0075173E">
              <w:rPr>
                <w:noProof/>
                <w:webHidden/>
              </w:rPr>
            </w:r>
            <w:r w:rsidR="0075173E">
              <w:rPr>
                <w:noProof/>
                <w:webHidden/>
              </w:rPr>
              <w:fldChar w:fldCharType="separate"/>
            </w:r>
            <w:r w:rsidR="0075173E">
              <w:rPr>
                <w:noProof/>
                <w:webHidden/>
              </w:rPr>
              <w:t>37</w:t>
            </w:r>
            <w:r w:rsidR="0075173E">
              <w:rPr>
                <w:noProof/>
                <w:webHidden/>
              </w:rPr>
              <w:fldChar w:fldCharType="end"/>
            </w:r>
          </w:hyperlink>
        </w:p>
        <w:p w14:paraId="24132DBE" w14:textId="2B3E7DF5" w:rsidR="0075173E" w:rsidRDefault="00612DE7">
          <w:pPr>
            <w:pStyle w:val="TOC3"/>
            <w:tabs>
              <w:tab w:val="right" w:leader="dot" w:pos="9622"/>
            </w:tabs>
            <w:rPr>
              <w:rFonts w:cstheme="minorBidi"/>
              <w:noProof/>
              <w:lang w:val="en-AU" w:eastAsia="en-AU"/>
            </w:rPr>
          </w:pPr>
          <w:hyperlink w:anchor="_Toc127436765" w:history="1">
            <w:r w:rsidR="0075173E" w:rsidRPr="002507EB">
              <w:rPr>
                <w:rStyle w:val="Hyperlink"/>
                <w:noProof/>
              </w:rPr>
              <w:t>City Parking</w:t>
            </w:r>
            <w:r w:rsidR="0075173E">
              <w:rPr>
                <w:noProof/>
                <w:webHidden/>
              </w:rPr>
              <w:tab/>
            </w:r>
            <w:r w:rsidR="0075173E">
              <w:rPr>
                <w:noProof/>
                <w:webHidden/>
              </w:rPr>
              <w:fldChar w:fldCharType="begin"/>
            </w:r>
            <w:r w:rsidR="0075173E">
              <w:rPr>
                <w:noProof/>
                <w:webHidden/>
              </w:rPr>
              <w:instrText xml:space="preserve"> PAGEREF _Toc127436765 \h </w:instrText>
            </w:r>
            <w:r w:rsidR="0075173E">
              <w:rPr>
                <w:noProof/>
                <w:webHidden/>
              </w:rPr>
            </w:r>
            <w:r w:rsidR="0075173E">
              <w:rPr>
                <w:noProof/>
                <w:webHidden/>
              </w:rPr>
              <w:fldChar w:fldCharType="separate"/>
            </w:r>
            <w:r w:rsidR="0075173E">
              <w:rPr>
                <w:noProof/>
                <w:webHidden/>
              </w:rPr>
              <w:t>39</w:t>
            </w:r>
            <w:r w:rsidR="0075173E">
              <w:rPr>
                <w:noProof/>
                <w:webHidden/>
              </w:rPr>
              <w:fldChar w:fldCharType="end"/>
            </w:r>
          </w:hyperlink>
        </w:p>
        <w:p w14:paraId="5864F7FE" w14:textId="0ECEA100" w:rsidR="009F536A" w:rsidRDefault="009F536A" w:rsidP="0057257F">
          <w:pPr>
            <w:pStyle w:val="TOC1"/>
          </w:pPr>
          <w:r w:rsidRPr="00CC2DA7">
            <w:rPr>
              <w:rFonts w:cs="Arial"/>
              <w:b/>
              <w:bCs/>
              <w:noProof/>
            </w:rPr>
            <w:fldChar w:fldCharType="end"/>
          </w:r>
        </w:p>
      </w:sdtContent>
    </w:sdt>
    <w:p w14:paraId="7889308E" w14:textId="6FFAE997" w:rsidR="006439D5" w:rsidRDefault="006439D5" w:rsidP="0057257F">
      <w:pPr>
        <w:pStyle w:val="TOC1"/>
      </w:pPr>
    </w:p>
    <w:p w14:paraId="430161BB" w14:textId="777525E7" w:rsidR="00037FA4" w:rsidRDefault="00037FA4"/>
    <w:p w14:paraId="3872EDB1" w14:textId="4F982848" w:rsidR="009B307C" w:rsidRDefault="009B307C" w:rsidP="009B307C">
      <w:pPr>
        <w:rPr>
          <w:rFonts w:cs="Arial"/>
          <w:b/>
          <w:bCs/>
          <w:noProof/>
        </w:rPr>
      </w:pPr>
    </w:p>
    <w:p w14:paraId="4C5F5501" w14:textId="15E20957" w:rsidR="0013507F" w:rsidRDefault="005F0EDF" w:rsidP="009B307C">
      <w:pPr>
        <w:rPr>
          <w:sz w:val="30"/>
          <w:szCs w:val="30"/>
        </w:rPr>
        <w:sectPr w:rsidR="0013507F" w:rsidSect="00A449EB">
          <w:headerReference w:type="default" r:id="rId13"/>
          <w:footerReference w:type="even" r:id="rId14"/>
          <w:footerReference w:type="default" r:id="rId15"/>
          <w:footerReference w:type="first" r:id="rId16"/>
          <w:pgSz w:w="11900" w:h="16840"/>
          <w:pgMar w:top="1440" w:right="1134" w:bottom="1440" w:left="1134" w:header="709" w:footer="709" w:gutter="0"/>
          <w:cols w:space="708"/>
          <w:docGrid w:linePitch="360"/>
        </w:sectPr>
      </w:pPr>
      <w:r>
        <w:rPr>
          <w:sz w:val="30"/>
          <w:szCs w:val="30"/>
        </w:rPr>
        <w:br w:type="page"/>
      </w:r>
    </w:p>
    <w:p w14:paraId="488F0457" w14:textId="08AD2B30" w:rsidR="00386B12" w:rsidRPr="0075173E" w:rsidRDefault="00386B12" w:rsidP="0075173E">
      <w:pPr>
        <w:rPr>
          <w:b/>
          <w:bCs/>
          <w:sz w:val="32"/>
          <w:szCs w:val="36"/>
        </w:rPr>
      </w:pPr>
      <w:bookmarkStart w:id="0" w:name="_Toc111123770"/>
      <w:bookmarkStart w:id="1" w:name="_Toc111123990"/>
      <w:bookmarkStart w:id="2" w:name="_Toc111126243"/>
      <w:r w:rsidRPr="0075173E">
        <w:rPr>
          <w:b/>
          <w:bCs/>
          <w:sz w:val="32"/>
          <w:szCs w:val="36"/>
        </w:rPr>
        <w:lastRenderedPageBreak/>
        <w:t>Overview and basis of preparation</w:t>
      </w:r>
      <w:bookmarkEnd w:id="0"/>
      <w:bookmarkEnd w:id="1"/>
      <w:bookmarkEnd w:id="2"/>
    </w:p>
    <w:p w14:paraId="32E9C5F5" w14:textId="77777777" w:rsidR="00DC74F2" w:rsidRDefault="00DC74F2" w:rsidP="00D97CF5">
      <w:pPr>
        <w:rPr>
          <w:rFonts w:cs="Arial"/>
          <w:szCs w:val="22"/>
        </w:rPr>
      </w:pPr>
    </w:p>
    <w:p w14:paraId="0D04A091" w14:textId="2CC261E6" w:rsidR="00BF592C" w:rsidRPr="00BF592C" w:rsidRDefault="00BF592C" w:rsidP="00D97CF5">
      <w:pPr>
        <w:rPr>
          <w:rFonts w:cs="Arial"/>
        </w:rPr>
      </w:pPr>
      <w:r w:rsidRPr="00BF592C">
        <w:t xml:space="preserve">This report has been prepared to meet the reporting requirements of the </w:t>
      </w:r>
      <w:r w:rsidRPr="00BF592C">
        <w:rPr>
          <w:i/>
          <w:iCs/>
        </w:rPr>
        <w:t>City of Brisbane Regulation 2012</w:t>
      </w:r>
      <w:r w:rsidRPr="00BF592C">
        <w:t xml:space="preserve"> (the Regulation)</w:t>
      </w:r>
      <w:r w:rsidR="001E56E0">
        <w:t xml:space="preserve"> and relates to the 2022-23 financial year.</w:t>
      </w:r>
    </w:p>
    <w:p w14:paraId="0590853D" w14:textId="77777777" w:rsidR="00BF592C" w:rsidRPr="008C28F7" w:rsidRDefault="00BF592C" w:rsidP="00D97CF5">
      <w:pPr>
        <w:rPr>
          <w:rFonts w:cs="Arial"/>
        </w:rPr>
      </w:pPr>
    </w:p>
    <w:p w14:paraId="556CE279" w14:textId="775239B6" w:rsidR="00386B12" w:rsidRDefault="00386B12" w:rsidP="00D97CF5">
      <w:pPr>
        <w:rPr>
          <w:rFonts w:cs="Arial"/>
          <w:szCs w:val="22"/>
        </w:rPr>
      </w:pPr>
      <w:r w:rsidRPr="005F0EDF">
        <w:rPr>
          <w:rFonts w:cs="Arial"/>
          <w:szCs w:val="22"/>
        </w:rPr>
        <w:t xml:space="preserve">The </w:t>
      </w:r>
      <w:r w:rsidR="00091902">
        <w:rPr>
          <w:rFonts w:cs="Arial"/>
          <w:szCs w:val="22"/>
        </w:rPr>
        <w:t>First Budget Review</w:t>
      </w:r>
      <w:r w:rsidRPr="005F0EDF">
        <w:rPr>
          <w:rFonts w:cs="Arial"/>
          <w:szCs w:val="22"/>
        </w:rPr>
        <w:t xml:space="preserve"> figures have been used for the approved annual budget 202</w:t>
      </w:r>
      <w:r w:rsidR="00D91BAB">
        <w:rPr>
          <w:rFonts w:cs="Arial"/>
          <w:szCs w:val="22"/>
        </w:rPr>
        <w:t>2</w:t>
      </w:r>
      <w:r w:rsidRPr="005F0EDF">
        <w:rPr>
          <w:rFonts w:cs="Arial"/>
          <w:szCs w:val="22"/>
        </w:rPr>
        <w:t>-2</w:t>
      </w:r>
      <w:r w:rsidR="00D91BAB">
        <w:rPr>
          <w:rFonts w:cs="Arial"/>
          <w:szCs w:val="22"/>
        </w:rPr>
        <w:t>3</w:t>
      </w:r>
      <w:r w:rsidRPr="005F0EDF">
        <w:rPr>
          <w:rFonts w:cs="Arial"/>
          <w:szCs w:val="22"/>
        </w:rPr>
        <w:t xml:space="preserve">. </w:t>
      </w:r>
    </w:p>
    <w:p w14:paraId="287CE0F2" w14:textId="59CE780F" w:rsidR="001E56E0" w:rsidRDefault="001E56E0" w:rsidP="00D97CF5">
      <w:pPr>
        <w:rPr>
          <w:rFonts w:cs="Arial"/>
          <w:szCs w:val="22"/>
        </w:rPr>
      </w:pPr>
    </w:p>
    <w:p w14:paraId="6A4B0638" w14:textId="77777777" w:rsidR="005F0EDF" w:rsidRDefault="00386B12" w:rsidP="00D97CF5">
      <w:pPr>
        <w:rPr>
          <w:rFonts w:cs="Arial"/>
          <w:szCs w:val="22"/>
        </w:rPr>
      </w:pPr>
      <w:r w:rsidRPr="005F0EDF">
        <w:rPr>
          <w:rFonts w:cs="Arial"/>
          <w:szCs w:val="22"/>
        </w:rPr>
        <w:t>Amounts included in this report are rounded to the nearest thousand ($000) or millions ($m) unless otherwise stated. Amounts may not add to the correct subtotals or totals due to rounding.</w:t>
      </w:r>
    </w:p>
    <w:p w14:paraId="23CF1038" w14:textId="798123E5" w:rsidR="00386B12" w:rsidRPr="005F0EDF" w:rsidRDefault="00386B12" w:rsidP="00D97CF5">
      <w:pPr>
        <w:rPr>
          <w:rFonts w:cs="Arial"/>
          <w:szCs w:val="22"/>
        </w:rPr>
      </w:pPr>
      <w:r w:rsidRPr="005F0EDF">
        <w:rPr>
          <w:rFonts w:cs="Arial"/>
          <w:szCs w:val="22"/>
        </w:rPr>
        <w:tab/>
      </w:r>
      <w:r w:rsidRPr="005F0EDF">
        <w:rPr>
          <w:rFonts w:cs="Arial"/>
          <w:szCs w:val="22"/>
        </w:rPr>
        <w:tab/>
      </w:r>
      <w:r w:rsidRPr="005F0EDF">
        <w:rPr>
          <w:rFonts w:cs="Arial"/>
          <w:szCs w:val="22"/>
        </w:rPr>
        <w:tab/>
      </w:r>
    </w:p>
    <w:p w14:paraId="59AE0AA9" w14:textId="3FD6509B" w:rsidR="00386B12" w:rsidRPr="00D97CF5" w:rsidRDefault="00386B12" w:rsidP="00D97CF5">
      <w:pPr>
        <w:rPr>
          <w:b/>
          <w:bCs/>
          <w:sz w:val="32"/>
          <w:szCs w:val="36"/>
        </w:rPr>
      </w:pPr>
      <w:r w:rsidRPr="00D97CF5">
        <w:rPr>
          <w:b/>
          <w:bCs/>
          <w:sz w:val="32"/>
          <w:szCs w:val="36"/>
        </w:rPr>
        <w:t xml:space="preserve">Section 1 – Quarterly </w:t>
      </w:r>
      <w:r w:rsidR="002E7089" w:rsidRPr="00D97CF5">
        <w:rPr>
          <w:b/>
          <w:bCs/>
          <w:sz w:val="32"/>
          <w:szCs w:val="36"/>
        </w:rPr>
        <w:t>F</w:t>
      </w:r>
      <w:r w:rsidRPr="00D97CF5">
        <w:rPr>
          <w:b/>
          <w:bCs/>
          <w:sz w:val="32"/>
          <w:szCs w:val="36"/>
        </w:rPr>
        <w:t xml:space="preserve">inancial </w:t>
      </w:r>
      <w:r w:rsidR="002E7089" w:rsidRPr="00D97CF5">
        <w:rPr>
          <w:b/>
          <w:bCs/>
          <w:sz w:val="32"/>
          <w:szCs w:val="36"/>
        </w:rPr>
        <w:t>R</w:t>
      </w:r>
      <w:r w:rsidRPr="00D97CF5">
        <w:rPr>
          <w:b/>
          <w:bCs/>
          <w:sz w:val="32"/>
          <w:szCs w:val="36"/>
        </w:rPr>
        <w:t xml:space="preserve">eport </w:t>
      </w:r>
    </w:p>
    <w:p w14:paraId="1BDF2786" w14:textId="77777777" w:rsidR="008C28F7" w:rsidRPr="005F0EDF" w:rsidRDefault="008C28F7" w:rsidP="00D97CF5">
      <w:pPr>
        <w:rPr>
          <w:rFonts w:cs="Arial"/>
          <w:szCs w:val="22"/>
        </w:rPr>
      </w:pPr>
    </w:p>
    <w:p w14:paraId="6F6F5A72" w14:textId="22985CA3" w:rsidR="00D8151F" w:rsidRDefault="00D8151F" w:rsidP="00D97CF5">
      <w:pPr>
        <w:rPr>
          <w:rFonts w:ascii="Segoe UI" w:hAnsi="Segoe UI" w:cs="Segoe UI"/>
          <w:color w:val="FF0000"/>
          <w:sz w:val="21"/>
          <w:szCs w:val="21"/>
          <w:u w:val="single"/>
          <w:shd w:val="clear" w:color="auto" w:fill="FFFFFF"/>
        </w:rPr>
      </w:pPr>
      <w:r w:rsidRPr="00D8151F">
        <w:rPr>
          <w:rFonts w:cs="Arial"/>
          <w:szCs w:val="22"/>
        </w:rPr>
        <w:t xml:space="preserve">The Quarterly Financial Report represents a special purpose financial report prepared specifically to meet the requirements of the Regulation and are not required to be audited. This report includes the statements of comprehensive income, financial position, changes in equity and cash flows for the period ended </w:t>
      </w:r>
      <w:r w:rsidR="00091902">
        <w:rPr>
          <w:rFonts w:cs="Arial"/>
          <w:szCs w:val="22"/>
        </w:rPr>
        <w:t>September</w:t>
      </w:r>
      <w:r w:rsidRPr="00D8151F">
        <w:rPr>
          <w:rFonts w:cs="Arial"/>
          <w:szCs w:val="22"/>
        </w:rPr>
        <w:t xml:space="preserve"> 2022. The recognition and measurement requirements of the Australian Accounting Standards have been applied in preparing the quarterly financial report. For a summary of significant accounting policies used, refer to the notes to Council’s general purpose financial statements for the year ended 30 June 202</w:t>
      </w:r>
      <w:r w:rsidR="008C28F7">
        <w:rPr>
          <w:rFonts w:cs="Arial"/>
          <w:szCs w:val="22"/>
        </w:rPr>
        <w:t>2.</w:t>
      </w:r>
    </w:p>
    <w:p w14:paraId="0119F1EB" w14:textId="19741545" w:rsidR="00386B12" w:rsidRPr="005F0EDF" w:rsidRDefault="00386B12" w:rsidP="00D97CF5">
      <w:pPr>
        <w:rPr>
          <w:rFonts w:cs="Arial"/>
          <w:szCs w:val="22"/>
        </w:rPr>
      </w:pPr>
    </w:p>
    <w:p w14:paraId="5B6280FD" w14:textId="6B1FCC0F" w:rsidR="00386B12" w:rsidRPr="00D97CF5" w:rsidRDefault="00386B12" w:rsidP="00D97CF5">
      <w:pPr>
        <w:rPr>
          <w:b/>
          <w:bCs/>
          <w:sz w:val="32"/>
          <w:szCs w:val="40"/>
        </w:rPr>
      </w:pPr>
      <w:r w:rsidRPr="00D97CF5">
        <w:rPr>
          <w:b/>
          <w:bCs/>
          <w:sz w:val="32"/>
          <w:szCs w:val="36"/>
        </w:rPr>
        <w:t xml:space="preserve">Section 2 – Annual </w:t>
      </w:r>
      <w:r w:rsidR="002D0F0B" w:rsidRPr="00D97CF5">
        <w:rPr>
          <w:b/>
          <w:bCs/>
          <w:sz w:val="32"/>
          <w:szCs w:val="36"/>
        </w:rPr>
        <w:t>O</w:t>
      </w:r>
      <w:r w:rsidR="00A13A6F" w:rsidRPr="00D97CF5">
        <w:rPr>
          <w:b/>
          <w:bCs/>
          <w:sz w:val="32"/>
          <w:szCs w:val="36"/>
        </w:rPr>
        <w:t xml:space="preserve">perational </w:t>
      </w:r>
      <w:r w:rsidR="002D0F0B" w:rsidRPr="00D97CF5">
        <w:rPr>
          <w:b/>
          <w:bCs/>
          <w:sz w:val="32"/>
          <w:szCs w:val="36"/>
        </w:rPr>
        <w:t>P</w:t>
      </w:r>
      <w:r w:rsidRPr="00D97CF5">
        <w:rPr>
          <w:b/>
          <w:bCs/>
          <w:sz w:val="32"/>
          <w:szCs w:val="36"/>
        </w:rPr>
        <w:t xml:space="preserve">lan </w:t>
      </w:r>
      <w:r w:rsidR="00C31915" w:rsidRPr="00D97CF5">
        <w:rPr>
          <w:b/>
          <w:bCs/>
          <w:sz w:val="32"/>
          <w:szCs w:val="36"/>
        </w:rPr>
        <w:t>Progress</w:t>
      </w:r>
      <w:r w:rsidR="00966446" w:rsidRPr="00D97CF5">
        <w:rPr>
          <w:b/>
          <w:bCs/>
          <w:sz w:val="32"/>
          <w:szCs w:val="36"/>
        </w:rPr>
        <w:t xml:space="preserve"> </w:t>
      </w:r>
      <w:r w:rsidR="002E7089" w:rsidRPr="00D97CF5">
        <w:rPr>
          <w:b/>
          <w:bCs/>
          <w:sz w:val="32"/>
          <w:szCs w:val="36"/>
        </w:rPr>
        <w:t>R</w:t>
      </w:r>
      <w:r w:rsidR="00966446" w:rsidRPr="00D97CF5">
        <w:rPr>
          <w:b/>
          <w:bCs/>
          <w:sz w:val="32"/>
          <w:szCs w:val="36"/>
        </w:rPr>
        <w:t>eport</w:t>
      </w:r>
    </w:p>
    <w:p w14:paraId="0E7299CB" w14:textId="4577FC22" w:rsidR="008C28F7" w:rsidRPr="005F0EDF" w:rsidRDefault="008C28F7" w:rsidP="00D97CF5">
      <w:pPr>
        <w:rPr>
          <w:rFonts w:cs="Arial"/>
          <w:szCs w:val="22"/>
        </w:rPr>
      </w:pPr>
    </w:p>
    <w:p w14:paraId="6CFB41BA" w14:textId="4B39106E" w:rsidR="00386B12" w:rsidRPr="005F0EDF" w:rsidRDefault="00386B12" w:rsidP="00D97CF5">
      <w:pPr>
        <w:rPr>
          <w:rFonts w:cs="Arial"/>
          <w:szCs w:val="22"/>
        </w:rPr>
      </w:pPr>
      <w:r w:rsidRPr="005F0EDF">
        <w:rPr>
          <w:rFonts w:cs="Arial"/>
          <w:szCs w:val="22"/>
        </w:rPr>
        <w:t xml:space="preserve">The </w:t>
      </w:r>
      <w:r w:rsidR="002D0F0B">
        <w:rPr>
          <w:rFonts w:cs="Arial"/>
          <w:szCs w:val="22"/>
        </w:rPr>
        <w:t>A</w:t>
      </w:r>
      <w:r w:rsidRPr="005F0EDF">
        <w:rPr>
          <w:rFonts w:cs="Arial"/>
          <w:szCs w:val="22"/>
        </w:rPr>
        <w:t xml:space="preserve">nnual </w:t>
      </w:r>
      <w:r w:rsidR="002D0F0B">
        <w:rPr>
          <w:rFonts w:cs="Arial"/>
          <w:szCs w:val="22"/>
        </w:rPr>
        <w:t>O</w:t>
      </w:r>
      <w:r w:rsidR="009D4373">
        <w:rPr>
          <w:rFonts w:cs="Arial"/>
          <w:szCs w:val="22"/>
        </w:rPr>
        <w:t xml:space="preserve">perational </w:t>
      </w:r>
      <w:r w:rsidR="002D0F0B">
        <w:rPr>
          <w:rFonts w:cs="Arial"/>
          <w:szCs w:val="22"/>
        </w:rPr>
        <w:t>P</w:t>
      </w:r>
      <w:r w:rsidRPr="005F0EDF">
        <w:rPr>
          <w:rFonts w:cs="Arial"/>
          <w:szCs w:val="22"/>
        </w:rPr>
        <w:t xml:space="preserve">lan </w:t>
      </w:r>
      <w:r w:rsidR="00C31915">
        <w:rPr>
          <w:rFonts w:cs="Arial"/>
          <w:szCs w:val="22"/>
        </w:rPr>
        <w:t>progress</w:t>
      </w:r>
      <w:r w:rsidR="007A67B9">
        <w:rPr>
          <w:rFonts w:cs="Arial"/>
          <w:szCs w:val="22"/>
        </w:rPr>
        <w:t xml:space="preserve"> report</w:t>
      </w:r>
      <w:r w:rsidRPr="005F0EDF">
        <w:rPr>
          <w:rFonts w:cs="Arial"/>
          <w:szCs w:val="22"/>
        </w:rPr>
        <w:t xml:space="preserve"> is a written assessment of Council’s progress towards implementing the 202</w:t>
      </w:r>
      <w:r w:rsidR="008C28F7">
        <w:rPr>
          <w:rFonts w:cs="Arial"/>
          <w:szCs w:val="22"/>
        </w:rPr>
        <w:t>2</w:t>
      </w:r>
      <w:r w:rsidRPr="005F0EDF">
        <w:rPr>
          <w:rFonts w:cs="Arial"/>
          <w:szCs w:val="22"/>
        </w:rPr>
        <w:t>-2</w:t>
      </w:r>
      <w:r w:rsidR="008C28F7">
        <w:rPr>
          <w:rFonts w:cs="Arial"/>
          <w:szCs w:val="22"/>
        </w:rPr>
        <w:t>3</w:t>
      </w:r>
      <w:r w:rsidRPr="005F0EDF">
        <w:rPr>
          <w:rFonts w:cs="Arial"/>
          <w:szCs w:val="22"/>
        </w:rPr>
        <w:t xml:space="preserve"> Annual Operational Plan. Council’s operations are focussed on achieving the strategic directions through the Annual Plan, delivered via the projects and services of Council’s programs and business units. </w:t>
      </w:r>
    </w:p>
    <w:p w14:paraId="7E155D60" w14:textId="77777777" w:rsidR="00386B12" w:rsidRPr="005F0EDF" w:rsidRDefault="00386B12" w:rsidP="00D97CF5">
      <w:pPr>
        <w:rPr>
          <w:rFonts w:cs="Arial"/>
          <w:szCs w:val="22"/>
        </w:rPr>
      </w:pPr>
    </w:p>
    <w:p w14:paraId="14AC1FCB" w14:textId="591889B2" w:rsidR="00386B12" w:rsidRPr="005F0EDF" w:rsidRDefault="00386B12" w:rsidP="00D97CF5">
      <w:pPr>
        <w:rPr>
          <w:rFonts w:cs="Arial"/>
          <w:szCs w:val="22"/>
        </w:rPr>
      </w:pPr>
      <w:r w:rsidRPr="005F0EDF">
        <w:rPr>
          <w:rFonts w:cs="Arial"/>
          <w:szCs w:val="22"/>
        </w:rPr>
        <w:t>This section includes the financial results at the program and business level in relation to the annual budget. This also reports on highlights and significant updates for each program and business during the period.</w:t>
      </w:r>
    </w:p>
    <w:p w14:paraId="2A4C6239" w14:textId="77777777" w:rsidR="00386B12" w:rsidRPr="005F0EDF" w:rsidRDefault="00386B12" w:rsidP="00D97CF5">
      <w:pPr>
        <w:rPr>
          <w:rFonts w:cs="Arial"/>
          <w:szCs w:val="22"/>
        </w:rPr>
      </w:pPr>
    </w:p>
    <w:p w14:paraId="4F60F661" w14:textId="5D82B977" w:rsidR="00386B12" w:rsidRPr="00D97CF5" w:rsidRDefault="00386B12" w:rsidP="00D97CF5">
      <w:pPr>
        <w:rPr>
          <w:b/>
          <w:bCs/>
          <w:sz w:val="32"/>
          <w:szCs w:val="36"/>
        </w:rPr>
      </w:pPr>
      <w:r w:rsidRPr="00D97CF5">
        <w:rPr>
          <w:b/>
          <w:bCs/>
          <w:sz w:val="32"/>
          <w:szCs w:val="36"/>
        </w:rPr>
        <w:t>Section 3 – Commercial</w:t>
      </w:r>
      <w:r w:rsidR="0084045C" w:rsidRPr="00D97CF5">
        <w:rPr>
          <w:b/>
          <w:bCs/>
          <w:sz w:val="32"/>
          <w:szCs w:val="36"/>
        </w:rPr>
        <w:t>ised</w:t>
      </w:r>
      <w:r w:rsidRPr="00D97CF5">
        <w:rPr>
          <w:b/>
          <w:bCs/>
          <w:sz w:val="32"/>
          <w:szCs w:val="36"/>
        </w:rPr>
        <w:t xml:space="preserve"> </w:t>
      </w:r>
      <w:r w:rsidR="002E7089" w:rsidRPr="00D97CF5">
        <w:rPr>
          <w:b/>
          <w:bCs/>
          <w:sz w:val="32"/>
          <w:szCs w:val="36"/>
        </w:rPr>
        <w:t>B</w:t>
      </w:r>
      <w:r w:rsidRPr="00D97CF5">
        <w:rPr>
          <w:b/>
          <w:bCs/>
          <w:sz w:val="32"/>
          <w:szCs w:val="36"/>
        </w:rPr>
        <w:t>usinesses</w:t>
      </w:r>
    </w:p>
    <w:p w14:paraId="7B11F753" w14:textId="77777777" w:rsidR="008C28F7" w:rsidRPr="005F0EDF" w:rsidRDefault="008C28F7" w:rsidP="00D97CF5">
      <w:pPr>
        <w:rPr>
          <w:rFonts w:cs="Arial"/>
          <w:szCs w:val="22"/>
        </w:rPr>
      </w:pPr>
    </w:p>
    <w:p w14:paraId="55D8C0A0" w14:textId="5145BF3A" w:rsidR="00386B12" w:rsidRPr="005F0EDF" w:rsidRDefault="00E66103" w:rsidP="00D97CF5">
      <w:pPr>
        <w:rPr>
          <w:rFonts w:cs="Arial"/>
          <w:szCs w:val="22"/>
        </w:rPr>
      </w:pPr>
      <w:r>
        <w:rPr>
          <w:rFonts w:cs="Arial"/>
          <w:szCs w:val="22"/>
        </w:rPr>
        <w:t>This section provides the</w:t>
      </w:r>
      <w:r w:rsidR="00A97457">
        <w:rPr>
          <w:rFonts w:cs="Arial"/>
          <w:szCs w:val="22"/>
        </w:rPr>
        <w:t xml:space="preserve"> </w:t>
      </w:r>
      <w:r w:rsidR="009D4235">
        <w:rPr>
          <w:rFonts w:cs="Arial"/>
          <w:szCs w:val="22"/>
        </w:rPr>
        <w:t>A</w:t>
      </w:r>
      <w:r w:rsidR="00A97457">
        <w:rPr>
          <w:rFonts w:cs="Arial"/>
          <w:szCs w:val="22"/>
        </w:rPr>
        <w:t xml:space="preserve">nnual </w:t>
      </w:r>
      <w:r w:rsidR="009D4235">
        <w:rPr>
          <w:rFonts w:cs="Arial"/>
          <w:szCs w:val="22"/>
        </w:rPr>
        <w:t>P</w:t>
      </w:r>
      <w:r w:rsidR="00A97457">
        <w:rPr>
          <w:rFonts w:cs="Arial"/>
          <w:szCs w:val="22"/>
        </w:rPr>
        <w:t xml:space="preserve">erformance </w:t>
      </w:r>
      <w:r w:rsidR="009D4235">
        <w:rPr>
          <w:rFonts w:cs="Arial"/>
          <w:szCs w:val="22"/>
        </w:rPr>
        <w:t>P</w:t>
      </w:r>
      <w:r w:rsidR="00A97457">
        <w:rPr>
          <w:rFonts w:cs="Arial"/>
          <w:szCs w:val="22"/>
        </w:rPr>
        <w:t xml:space="preserve">lan </w:t>
      </w:r>
      <w:r w:rsidR="00B80918">
        <w:rPr>
          <w:rFonts w:cs="Arial"/>
          <w:szCs w:val="22"/>
        </w:rPr>
        <w:t>report for</w:t>
      </w:r>
      <w:r w:rsidR="00A13A6F">
        <w:rPr>
          <w:rFonts w:cs="Arial"/>
          <w:szCs w:val="22"/>
        </w:rPr>
        <w:t xml:space="preserve"> </w:t>
      </w:r>
      <w:r w:rsidR="00386B12" w:rsidRPr="005F0EDF">
        <w:rPr>
          <w:rFonts w:cs="Arial"/>
          <w:szCs w:val="22"/>
        </w:rPr>
        <w:t>Council’s commercial</w:t>
      </w:r>
      <w:r w:rsidR="00E43BA9">
        <w:rPr>
          <w:rFonts w:cs="Arial"/>
          <w:szCs w:val="22"/>
        </w:rPr>
        <w:t>ised</w:t>
      </w:r>
      <w:r w:rsidR="00386B12" w:rsidRPr="005F0EDF">
        <w:rPr>
          <w:rFonts w:cs="Arial"/>
          <w:szCs w:val="22"/>
        </w:rPr>
        <w:t xml:space="preserve"> business units </w:t>
      </w:r>
      <w:r w:rsidR="00B80918">
        <w:rPr>
          <w:rFonts w:cs="Arial"/>
          <w:szCs w:val="22"/>
        </w:rPr>
        <w:t xml:space="preserve">including </w:t>
      </w:r>
      <w:r w:rsidR="00386B12" w:rsidRPr="005F0EDF">
        <w:rPr>
          <w:rFonts w:cs="Arial"/>
          <w:szCs w:val="22"/>
        </w:rPr>
        <w:t>Transport for Brisbane and City Parking.</w:t>
      </w:r>
      <w:r w:rsidR="004D63BC">
        <w:rPr>
          <w:rFonts w:cs="Arial"/>
          <w:szCs w:val="22"/>
        </w:rPr>
        <w:t xml:space="preserve"> </w:t>
      </w:r>
      <w:r w:rsidR="00386B12" w:rsidRPr="005F0EDF">
        <w:rPr>
          <w:rFonts w:cs="Arial"/>
          <w:szCs w:val="22"/>
        </w:rPr>
        <w:t xml:space="preserve">Transport for Brisbane commercial business include the activities in the Transport for Brisbane business unit and the activities in Transport for Brisbane and other programs in Section 2. City Parking forms part of the Infrastructure for Brisbane program in Section 2. In accordance with the </w:t>
      </w:r>
      <w:r w:rsidR="00DE16FA">
        <w:rPr>
          <w:rFonts w:cs="Arial"/>
          <w:szCs w:val="22"/>
        </w:rPr>
        <w:t>Regulation</w:t>
      </w:r>
      <w:r w:rsidR="00386B12" w:rsidRPr="005F0EDF">
        <w:rPr>
          <w:rFonts w:cs="Arial"/>
          <w:szCs w:val="22"/>
        </w:rPr>
        <w:t xml:space="preserve">, the </w:t>
      </w:r>
      <w:r w:rsidR="00CE78D9">
        <w:rPr>
          <w:rFonts w:cs="Arial"/>
          <w:szCs w:val="22"/>
        </w:rPr>
        <w:t>progress</w:t>
      </w:r>
      <w:r w:rsidR="00386B12" w:rsidRPr="005F0EDF">
        <w:rPr>
          <w:rFonts w:cs="Arial"/>
          <w:szCs w:val="22"/>
        </w:rPr>
        <w:t xml:space="preserve"> of these commercial</w:t>
      </w:r>
      <w:r w:rsidR="0030047C">
        <w:rPr>
          <w:rFonts w:cs="Arial"/>
          <w:szCs w:val="22"/>
        </w:rPr>
        <w:t>ised</w:t>
      </w:r>
      <w:r w:rsidR="00386B12" w:rsidRPr="005F0EDF">
        <w:rPr>
          <w:rFonts w:cs="Arial"/>
          <w:szCs w:val="22"/>
        </w:rPr>
        <w:t xml:space="preserve"> business activities</w:t>
      </w:r>
      <w:r w:rsidR="00CE78D9">
        <w:rPr>
          <w:rFonts w:cs="Arial"/>
          <w:szCs w:val="22"/>
        </w:rPr>
        <w:t xml:space="preserve"> </w:t>
      </w:r>
      <w:r w:rsidR="0030047C">
        <w:rPr>
          <w:rFonts w:cs="Arial"/>
          <w:szCs w:val="22"/>
        </w:rPr>
        <w:t>against</w:t>
      </w:r>
      <w:r w:rsidR="00CE78D9">
        <w:rPr>
          <w:rFonts w:cs="Arial"/>
          <w:szCs w:val="22"/>
        </w:rPr>
        <w:t xml:space="preserve"> the </w:t>
      </w:r>
      <w:r w:rsidR="004206BB">
        <w:rPr>
          <w:rFonts w:cs="Arial"/>
          <w:szCs w:val="22"/>
        </w:rPr>
        <w:t>Annual Plan</w:t>
      </w:r>
      <w:r w:rsidR="00386B12" w:rsidRPr="005F0EDF">
        <w:rPr>
          <w:rFonts w:cs="Arial"/>
          <w:szCs w:val="22"/>
        </w:rPr>
        <w:t xml:space="preserve"> is reported in this section. </w:t>
      </w:r>
    </w:p>
    <w:p w14:paraId="590B8DCA" w14:textId="5D249F56" w:rsidR="00386B12" w:rsidRPr="005F0EDF" w:rsidRDefault="00386B12" w:rsidP="00386B12">
      <w:pPr>
        <w:jc w:val="both"/>
        <w:rPr>
          <w:rFonts w:cs="Arial"/>
          <w:szCs w:val="22"/>
        </w:rPr>
      </w:pPr>
      <w:r w:rsidRPr="005F0EDF">
        <w:rPr>
          <w:rFonts w:cs="Arial"/>
          <w:szCs w:val="22"/>
        </w:rPr>
        <w:br w:type="page"/>
      </w:r>
    </w:p>
    <w:p w14:paraId="78884EDB" w14:textId="77777777" w:rsidR="00BE4A88" w:rsidRDefault="00BE4A88" w:rsidP="00BE4A88">
      <w:pPr>
        <w:rPr>
          <w:rFonts w:cs="Arial"/>
          <w:b/>
          <w:bCs/>
          <w:sz w:val="20"/>
          <w:szCs w:val="20"/>
        </w:rPr>
      </w:pPr>
      <w:bookmarkStart w:id="3" w:name="_Toc111126244"/>
    </w:p>
    <w:p w14:paraId="20462524" w14:textId="77777777" w:rsidR="00BE4A88" w:rsidRDefault="00BE4A88" w:rsidP="00BE4A88">
      <w:pPr>
        <w:jc w:val="center"/>
        <w:rPr>
          <w:rFonts w:cs="Arial"/>
          <w:b/>
          <w:bCs/>
          <w:sz w:val="40"/>
          <w:szCs w:val="40"/>
        </w:rPr>
      </w:pPr>
    </w:p>
    <w:p w14:paraId="3E0B9A0A" w14:textId="77777777" w:rsidR="00BE4A88" w:rsidRDefault="00BE4A88" w:rsidP="00BE4A88">
      <w:pPr>
        <w:jc w:val="center"/>
        <w:rPr>
          <w:rFonts w:cs="Arial"/>
          <w:b/>
          <w:bCs/>
          <w:sz w:val="40"/>
          <w:szCs w:val="40"/>
        </w:rPr>
      </w:pPr>
    </w:p>
    <w:p w14:paraId="5E2141CE" w14:textId="77777777" w:rsidR="00BE4A88" w:rsidRDefault="00BE4A88" w:rsidP="00BE4A88">
      <w:pPr>
        <w:jc w:val="center"/>
        <w:rPr>
          <w:rFonts w:cs="Arial"/>
          <w:b/>
          <w:bCs/>
          <w:sz w:val="40"/>
          <w:szCs w:val="40"/>
        </w:rPr>
      </w:pPr>
    </w:p>
    <w:p w14:paraId="3CE66350" w14:textId="77777777" w:rsidR="00BE4A88" w:rsidRDefault="00BE4A88" w:rsidP="00BE4A88">
      <w:pPr>
        <w:jc w:val="center"/>
        <w:rPr>
          <w:rFonts w:cs="Arial"/>
          <w:b/>
          <w:bCs/>
          <w:sz w:val="40"/>
          <w:szCs w:val="40"/>
        </w:rPr>
      </w:pPr>
    </w:p>
    <w:p w14:paraId="6D7CC7FB" w14:textId="42D5F826" w:rsidR="00BE4A88" w:rsidRDefault="00BE4A88" w:rsidP="00BE4A88">
      <w:pPr>
        <w:jc w:val="center"/>
        <w:rPr>
          <w:rFonts w:cs="Arial"/>
          <w:b/>
          <w:bCs/>
          <w:sz w:val="40"/>
          <w:szCs w:val="40"/>
        </w:rPr>
      </w:pPr>
    </w:p>
    <w:p w14:paraId="259DAA8A" w14:textId="77777777" w:rsidR="00462962" w:rsidRDefault="00462962" w:rsidP="00BE4A88">
      <w:pPr>
        <w:jc w:val="center"/>
        <w:rPr>
          <w:rFonts w:cs="Arial"/>
          <w:b/>
          <w:bCs/>
          <w:sz w:val="40"/>
          <w:szCs w:val="40"/>
        </w:rPr>
      </w:pPr>
    </w:p>
    <w:p w14:paraId="1696FEB5" w14:textId="11829CC4" w:rsidR="00F66229" w:rsidRDefault="00F66229" w:rsidP="00BE4A88">
      <w:pPr>
        <w:jc w:val="center"/>
        <w:rPr>
          <w:rFonts w:cs="Arial"/>
          <w:b/>
          <w:bCs/>
          <w:sz w:val="40"/>
          <w:szCs w:val="40"/>
        </w:rPr>
      </w:pPr>
    </w:p>
    <w:p w14:paraId="47753AA9" w14:textId="1CFF1ABD" w:rsidR="00CC2DA7" w:rsidRPr="00303222" w:rsidRDefault="00CC2DA7" w:rsidP="0057257F">
      <w:pPr>
        <w:pStyle w:val="Heading2"/>
      </w:pPr>
      <w:bookmarkStart w:id="4" w:name="_Toc127436747"/>
      <w:bookmarkEnd w:id="3"/>
      <w:r w:rsidRPr="00303222">
        <w:t>Section 1 – Quarterly Financial Report</w:t>
      </w:r>
      <w:bookmarkEnd w:id="4"/>
    </w:p>
    <w:p w14:paraId="2F110DB8" w14:textId="370A51DA" w:rsidR="00386B12" w:rsidRDefault="00386B12" w:rsidP="00CC2DA7">
      <w:pPr>
        <w:rPr>
          <w:rFonts w:cs="Arial"/>
          <w:sz w:val="20"/>
          <w:szCs w:val="20"/>
        </w:rPr>
      </w:pPr>
    </w:p>
    <w:p w14:paraId="3C480949" w14:textId="63712EB8" w:rsidR="00386B12" w:rsidRDefault="00386B12" w:rsidP="00386B12">
      <w:pPr>
        <w:rPr>
          <w:rFonts w:cs="Arial"/>
          <w:sz w:val="20"/>
          <w:szCs w:val="20"/>
        </w:rPr>
      </w:pPr>
    </w:p>
    <w:p w14:paraId="0DCD69E6" w14:textId="77777777" w:rsidR="005D266B" w:rsidRDefault="005D266B" w:rsidP="00386B12">
      <w:pPr>
        <w:rPr>
          <w:rFonts w:cs="Arial"/>
          <w:sz w:val="20"/>
          <w:szCs w:val="20"/>
        </w:rPr>
      </w:pPr>
    </w:p>
    <w:p w14:paraId="51E5D77B" w14:textId="77777777" w:rsidR="00462962" w:rsidRDefault="00462962" w:rsidP="00386B12">
      <w:pPr>
        <w:rPr>
          <w:rFonts w:cs="Arial"/>
          <w:sz w:val="20"/>
          <w:szCs w:val="20"/>
        </w:rPr>
      </w:pPr>
    </w:p>
    <w:p w14:paraId="7F538960" w14:textId="7113F47B" w:rsidR="00462962" w:rsidRDefault="00462962" w:rsidP="00386B12">
      <w:pPr>
        <w:rPr>
          <w:rFonts w:cs="Arial"/>
          <w:sz w:val="20"/>
          <w:szCs w:val="20"/>
        </w:rPr>
      </w:pPr>
    </w:p>
    <w:p w14:paraId="60539A4E" w14:textId="1560B224" w:rsidR="00462962" w:rsidRDefault="00462962" w:rsidP="00386B12">
      <w:pPr>
        <w:rPr>
          <w:rFonts w:cs="Arial"/>
          <w:sz w:val="20"/>
          <w:szCs w:val="20"/>
        </w:rPr>
      </w:pPr>
    </w:p>
    <w:p w14:paraId="104F922F" w14:textId="77777777" w:rsidR="00462962" w:rsidRDefault="00462962" w:rsidP="00386B12">
      <w:pPr>
        <w:rPr>
          <w:rFonts w:cs="Arial"/>
          <w:sz w:val="20"/>
          <w:szCs w:val="20"/>
        </w:rPr>
      </w:pPr>
    </w:p>
    <w:p w14:paraId="5D54FD68" w14:textId="77777777" w:rsidR="00462962" w:rsidRDefault="00462962" w:rsidP="00386B12">
      <w:pPr>
        <w:rPr>
          <w:rFonts w:cs="Arial"/>
          <w:sz w:val="20"/>
          <w:szCs w:val="20"/>
        </w:rPr>
      </w:pPr>
    </w:p>
    <w:p w14:paraId="7950BC95" w14:textId="399EB9CA" w:rsidR="00462962" w:rsidRDefault="00462962" w:rsidP="00386B12">
      <w:pPr>
        <w:rPr>
          <w:rFonts w:cs="Arial"/>
          <w:sz w:val="20"/>
          <w:szCs w:val="20"/>
        </w:rPr>
      </w:pPr>
    </w:p>
    <w:p w14:paraId="52E1C248" w14:textId="154C1B36" w:rsidR="00462962" w:rsidRDefault="00462962" w:rsidP="00386B12">
      <w:pPr>
        <w:rPr>
          <w:rFonts w:cs="Arial"/>
          <w:sz w:val="20"/>
          <w:szCs w:val="20"/>
        </w:rPr>
      </w:pPr>
    </w:p>
    <w:p w14:paraId="75539054" w14:textId="0D8D023C" w:rsidR="00462962" w:rsidRDefault="00462962" w:rsidP="00386B12">
      <w:pPr>
        <w:rPr>
          <w:rFonts w:cs="Arial"/>
          <w:sz w:val="20"/>
          <w:szCs w:val="20"/>
        </w:rPr>
      </w:pPr>
    </w:p>
    <w:p w14:paraId="7D50ED48" w14:textId="77777777" w:rsidR="00462962" w:rsidRDefault="00462962" w:rsidP="00386B12">
      <w:pPr>
        <w:rPr>
          <w:rFonts w:cs="Arial"/>
          <w:sz w:val="20"/>
          <w:szCs w:val="20"/>
        </w:rPr>
      </w:pPr>
    </w:p>
    <w:p w14:paraId="117B6FE6" w14:textId="59ED0FEC" w:rsidR="00462962" w:rsidRDefault="00462962" w:rsidP="00386B12">
      <w:pPr>
        <w:rPr>
          <w:rFonts w:cs="Arial"/>
          <w:sz w:val="20"/>
          <w:szCs w:val="20"/>
        </w:rPr>
        <w:sectPr w:rsidR="00462962" w:rsidSect="0013507F">
          <w:pgSz w:w="11900" w:h="16840"/>
          <w:pgMar w:top="1440" w:right="1134" w:bottom="1440" w:left="1134" w:header="709" w:footer="709" w:gutter="0"/>
          <w:cols w:space="708"/>
          <w:docGrid w:linePitch="360"/>
        </w:sectPr>
      </w:pPr>
    </w:p>
    <w:p w14:paraId="715591E9" w14:textId="77777777" w:rsidR="005D266B" w:rsidRPr="00303222" w:rsidRDefault="005D266B" w:rsidP="0057257F">
      <w:pPr>
        <w:pStyle w:val="Heading3"/>
      </w:pPr>
      <w:bookmarkStart w:id="5" w:name="_Toc127436748"/>
      <w:r w:rsidRPr="00303222">
        <w:lastRenderedPageBreak/>
        <w:t>Financial results</w:t>
      </w:r>
      <w:bookmarkEnd w:id="5"/>
    </w:p>
    <w:p w14:paraId="0455F99C" w14:textId="77777777" w:rsidR="005D266B" w:rsidRDefault="005D266B" w:rsidP="00386B12">
      <w:pPr>
        <w:jc w:val="both"/>
        <w:rPr>
          <w:rFonts w:cs="Arial"/>
          <w:szCs w:val="22"/>
        </w:rPr>
      </w:pPr>
    </w:p>
    <w:p w14:paraId="04604E7B" w14:textId="25522A32" w:rsidR="00386B12" w:rsidRDefault="00386B12" w:rsidP="00386B12">
      <w:pPr>
        <w:jc w:val="both"/>
        <w:rPr>
          <w:rFonts w:cs="Arial"/>
          <w:szCs w:val="22"/>
        </w:rPr>
      </w:pPr>
      <w:r w:rsidRPr="005F0EDF">
        <w:rPr>
          <w:rFonts w:cs="Arial"/>
          <w:szCs w:val="22"/>
        </w:rPr>
        <w:t xml:space="preserve">Council’s unaudited financial report for the period ended </w:t>
      </w:r>
      <w:r w:rsidR="00091902">
        <w:rPr>
          <w:rFonts w:cs="Arial"/>
          <w:szCs w:val="22"/>
        </w:rPr>
        <w:t>September</w:t>
      </w:r>
      <w:r w:rsidRPr="005F0EDF">
        <w:rPr>
          <w:rFonts w:cs="Arial"/>
          <w:szCs w:val="22"/>
        </w:rPr>
        <w:t xml:space="preserve"> 2022 is shown on pages </w:t>
      </w:r>
      <w:r w:rsidR="00071D0B">
        <w:rPr>
          <w:rFonts w:cs="Arial"/>
          <w:szCs w:val="22"/>
        </w:rPr>
        <w:t>9</w:t>
      </w:r>
      <w:r w:rsidRPr="005F0EDF">
        <w:rPr>
          <w:rFonts w:cs="Arial"/>
          <w:szCs w:val="22"/>
        </w:rPr>
        <w:t xml:space="preserve"> to </w:t>
      </w:r>
      <w:r w:rsidR="00863371">
        <w:rPr>
          <w:rFonts w:cs="Arial"/>
          <w:szCs w:val="22"/>
        </w:rPr>
        <w:t>1</w:t>
      </w:r>
      <w:r w:rsidR="00071D0B">
        <w:rPr>
          <w:rFonts w:cs="Arial"/>
          <w:szCs w:val="22"/>
        </w:rPr>
        <w:t>2</w:t>
      </w:r>
      <w:r w:rsidRPr="005F0EDF">
        <w:rPr>
          <w:rFonts w:cs="Arial"/>
          <w:szCs w:val="22"/>
        </w:rPr>
        <w:t xml:space="preserve">. </w:t>
      </w:r>
    </w:p>
    <w:p w14:paraId="526952BB" w14:textId="77777777" w:rsidR="00A55E7D" w:rsidRPr="005F0EDF" w:rsidRDefault="00A55E7D" w:rsidP="00386B12">
      <w:pPr>
        <w:jc w:val="both"/>
        <w:rPr>
          <w:rFonts w:cs="Arial"/>
          <w:szCs w:val="22"/>
        </w:rPr>
      </w:pPr>
    </w:p>
    <w:p w14:paraId="7DAF6BCB" w14:textId="2052718F" w:rsidR="00386B12" w:rsidRDefault="00B1720E" w:rsidP="00B1720E">
      <w:pPr>
        <w:jc w:val="center"/>
        <w:rPr>
          <w:rFonts w:cs="Arial"/>
          <w:color w:val="0070C0"/>
          <w:sz w:val="20"/>
          <w:szCs w:val="20"/>
        </w:rPr>
      </w:pPr>
      <w:r>
        <w:rPr>
          <w:noProof/>
        </w:rPr>
        <w:drawing>
          <wp:inline distT="0" distB="0" distL="0" distR="0" wp14:anchorId="15DB3AB7" wp14:editId="413B1097">
            <wp:extent cx="6116320" cy="1658620"/>
            <wp:effectExtent l="0" t="0" r="0" b="0"/>
            <wp:docPr id="1" name="Picture 1" descr="This graph shows Council's revenue, operating expenses and capital expenditure for the period ended September 2022, against the approved annual budget.&#10;&#10;Revenue&#10;$631.1 million (actual)&#10;$3,142.1 million (approved annual budget)&#10;&#10;Operating expenses&#10;$582.9 million (actual)&#10;$2,661.2 million (approved annual budget)&#10;&#10;Capital expenditure&#10;$245.6 million (actual)&#10;$1,411.6 million (approved annual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graph shows Council's revenue, operating expenses and capital expenditure for the period ended September 2022, against the approved annual budget.&#10;&#10;Revenue&#10;$631.1 million (actual)&#10;$3,142.1 million (approved annual budget)&#10;&#10;Operating expenses&#10;$582.9 million (actual)&#10;$2,661.2 million (approved annual budget)&#10;&#10;Capital expenditure&#10;$245.6 million (actual)&#10;$1,411.6 million (approved annual budget)"/>
                    <pic:cNvPicPr/>
                  </pic:nvPicPr>
                  <pic:blipFill>
                    <a:blip r:embed="rId17"/>
                    <a:stretch>
                      <a:fillRect/>
                    </a:stretch>
                  </pic:blipFill>
                  <pic:spPr>
                    <a:xfrm>
                      <a:off x="0" y="0"/>
                      <a:ext cx="6116320" cy="1658620"/>
                    </a:xfrm>
                    <a:prstGeom prst="rect">
                      <a:avLst/>
                    </a:prstGeom>
                  </pic:spPr>
                </pic:pic>
              </a:graphicData>
            </a:graphic>
          </wp:inline>
        </w:drawing>
      </w:r>
    </w:p>
    <w:p w14:paraId="7029812D" w14:textId="0ED33F9C" w:rsidR="00386B12" w:rsidRPr="00D3130C" w:rsidRDefault="00386B12" w:rsidP="00386B12">
      <w:pPr>
        <w:jc w:val="both"/>
        <w:rPr>
          <w:rFonts w:cs="Arial"/>
          <w:szCs w:val="22"/>
        </w:rPr>
      </w:pPr>
    </w:p>
    <w:p w14:paraId="034D7F9B" w14:textId="65E55E02" w:rsidR="00386B12" w:rsidRDefault="00386B12" w:rsidP="0057257F">
      <w:pPr>
        <w:pStyle w:val="Heading4black"/>
      </w:pPr>
      <w:r w:rsidRPr="00B24360">
        <w:t>Revenue</w:t>
      </w:r>
    </w:p>
    <w:p w14:paraId="2B545183" w14:textId="77777777" w:rsidR="008C28F7" w:rsidRPr="00B24360" w:rsidRDefault="008C28F7" w:rsidP="008C28F7">
      <w:pPr>
        <w:pStyle w:val="NormalCouncilblue"/>
        <w:spacing w:after="0" w:line="240" w:lineRule="auto"/>
        <w:rPr>
          <w:b/>
          <w:bCs/>
          <w:sz w:val="24"/>
          <w:szCs w:val="24"/>
        </w:rPr>
      </w:pPr>
    </w:p>
    <w:p w14:paraId="2DF4D36E" w14:textId="77777777" w:rsidR="00AD0004" w:rsidRPr="0020705D" w:rsidRDefault="00AD0004" w:rsidP="00EE10D2">
      <w:r w:rsidRPr="0020705D">
        <w:t>Council’s revenue is below budget during the period mainly due to:</w:t>
      </w:r>
    </w:p>
    <w:p w14:paraId="30C4A1C9" w14:textId="77777777" w:rsidR="00131267" w:rsidRPr="00254526" w:rsidRDefault="00D35F0D" w:rsidP="00EE10D2">
      <w:r w:rsidRPr="00254526">
        <w:t>Rephased</w:t>
      </w:r>
      <w:r w:rsidR="00345311" w:rsidRPr="00254526">
        <w:t xml:space="preserve"> grants and subsidies relating to the </w:t>
      </w:r>
      <w:r w:rsidR="00CA2BAD" w:rsidRPr="00254526">
        <w:t>South East Queensland rainfall and flooding event 2022</w:t>
      </w:r>
      <w:r w:rsidR="00FA5011" w:rsidRPr="00254526">
        <w:t xml:space="preserve"> (SEQRFE 2022)</w:t>
      </w:r>
      <w:r w:rsidR="00345311" w:rsidRPr="00254526">
        <w:t xml:space="preserve">. </w:t>
      </w:r>
      <w:r w:rsidR="00131267" w:rsidRPr="00254526">
        <w:rPr>
          <w:rFonts w:eastAsia="Calibri"/>
        </w:rPr>
        <w:t>This will continue to be monitored throughout the year.</w:t>
      </w:r>
    </w:p>
    <w:p w14:paraId="268C0C2B" w14:textId="51D3432B" w:rsidR="00345311" w:rsidRPr="00254526" w:rsidRDefault="009B70F2" w:rsidP="00EE10D2">
      <w:r w:rsidRPr="00254526">
        <w:t>Partly offset by e</w:t>
      </w:r>
      <w:r w:rsidR="00F15115" w:rsidRPr="00254526">
        <w:t xml:space="preserve">arlier than anticipated </w:t>
      </w:r>
      <w:r w:rsidR="00FD0E8A" w:rsidRPr="00254526">
        <w:t xml:space="preserve">grants and </w:t>
      </w:r>
      <w:r w:rsidR="00F15115" w:rsidRPr="00254526">
        <w:t>subsidies revenue mainly relating to the Urban Congestion Fund</w:t>
      </w:r>
      <w:r w:rsidR="00F9281C" w:rsidRPr="00254526">
        <w:t xml:space="preserve"> and higher than anticipated grants and subsidies relating to the Boosting Apprenticeship Commencements program</w:t>
      </w:r>
      <w:r w:rsidR="00D00698" w:rsidRPr="00254526">
        <w:t xml:space="preserve"> in the Transport for Brisbane commercial business</w:t>
      </w:r>
      <w:r w:rsidR="00F15115" w:rsidRPr="00254526">
        <w:t xml:space="preserve">. </w:t>
      </w:r>
      <w:r w:rsidR="002558E2" w:rsidRPr="00254526">
        <w:t>Th</w:t>
      </w:r>
      <w:r w:rsidRPr="00254526">
        <w:t>ese</w:t>
      </w:r>
      <w:r w:rsidR="002558E2" w:rsidRPr="00254526">
        <w:t xml:space="preserve"> </w:t>
      </w:r>
      <w:r w:rsidRPr="00254526">
        <w:t>are</w:t>
      </w:r>
      <w:r w:rsidR="002558E2" w:rsidRPr="00254526">
        <w:t xml:space="preserve"> expected </w:t>
      </w:r>
      <w:r w:rsidRPr="00254526">
        <w:t>to be adjusted in the next budget review or</w:t>
      </w:r>
      <w:r w:rsidR="00EB4DB1" w:rsidRPr="00254526">
        <w:t xml:space="preserve"> </w:t>
      </w:r>
      <w:r w:rsidR="002558E2" w:rsidRPr="00254526">
        <w:t>materially align with the annual budget at the end of the financial year</w:t>
      </w:r>
      <w:r w:rsidR="00D3684D" w:rsidRPr="00254526">
        <w:t>.</w:t>
      </w:r>
    </w:p>
    <w:p w14:paraId="67BC60D9" w14:textId="4C94E2A7" w:rsidR="00EC662A" w:rsidRPr="00254526" w:rsidRDefault="009164DA" w:rsidP="00EE10D2">
      <w:r w:rsidRPr="00254526">
        <w:t>R</w:t>
      </w:r>
      <w:r w:rsidR="00EC662A" w:rsidRPr="00254526">
        <w:t xml:space="preserve">ephased </w:t>
      </w:r>
      <w:r w:rsidRPr="00254526">
        <w:t xml:space="preserve">fees and charges for </w:t>
      </w:r>
      <w:r w:rsidR="00EC662A" w:rsidRPr="00254526">
        <w:t>develop</w:t>
      </w:r>
      <w:r w:rsidR="00D92752">
        <w:t>ment</w:t>
      </w:r>
      <w:r w:rsidR="00EC662A" w:rsidRPr="00254526">
        <w:t xml:space="preserve"> assessment and building applications fees</w:t>
      </w:r>
      <w:r w:rsidRPr="00254526">
        <w:t xml:space="preserve"> and fees and charges mainly relating to parking infringements. </w:t>
      </w:r>
      <w:r w:rsidR="008A5E2C" w:rsidRPr="00254526">
        <w:t xml:space="preserve">This will continue to be monitored throughout the year </w:t>
      </w:r>
      <w:r w:rsidR="00131267" w:rsidRPr="00254526">
        <w:t>and</w:t>
      </w:r>
      <w:r w:rsidR="008A5E2C" w:rsidRPr="00254526">
        <w:t xml:space="preserve"> </w:t>
      </w:r>
      <w:r w:rsidRPr="00254526">
        <w:t>be adjusted in a future budget review</w:t>
      </w:r>
      <w:r w:rsidR="00131267" w:rsidRPr="00254526">
        <w:t xml:space="preserve"> if required</w:t>
      </w:r>
      <w:r w:rsidRPr="00254526">
        <w:t>.</w:t>
      </w:r>
      <w:r w:rsidR="00EC662A" w:rsidRPr="00254526">
        <w:t xml:space="preserve"> </w:t>
      </w:r>
    </w:p>
    <w:p w14:paraId="5EFFE334" w14:textId="7B796C0D" w:rsidR="00E57FCD" w:rsidRDefault="00E57FCD" w:rsidP="00EE10D2">
      <w:r w:rsidRPr="0020705D">
        <w:t xml:space="preserve">Partly offset by higher than anticipated </w:t>
      </w:r>
      <w:r w:rsidR="00476F9F">
        <w:t xml:space="preserve">other revenue, mainly relating to </w:t>
      </w:r>
      <w:r w:rsidRPr="0020705D">
        <w:t>external demand for asphalt and quarry sales.</w:t>
      </w:r>
      <w:r w:rsidR="00496797" w:rsidRPr="00496797">
        <w:t xml:space="preserve"> </w:t>
      </w:r>
      <w:r w:rsidR="00496797">
        <w:t xml:space="preserve">This is </w:t>
      </w:r>
      <w:r w:rsidR="00496797" w:rsidRPr="00496797">
        <w:t>expected to materially align with the annual budget at the end of the financial year.</w:t>
      </w:r>
    </w:p>
    <w:p w14:paraId="7C332F72" w14:textId="77777777" w:rsidR="00D61CF2" w:rsidRPr="0020705D" w:rsidRDefault="00D61CF2" w:rsidP="00D61CF2">
      <w:pPr>
        <w:ind w:left="360"/>
        <w:jc w:val="both"/>
      </w:pPr>
    </w:p>
    <w:p w14:paraId="362A88C6" w14:textId="5D29605F" w:rsidR="0034258F" w:rsidRPr="0020705D" w:rsidRDefault="0098144C" w:rsidP="0020705D">
      <w:pPr>
        <w:jc w:val="both"/>
        <w:rPr>
          <w:rFonts w:eastAsia="Calibri"/>
        </w:rPr>
      </w:pPr>
      <w:r>
        <w:rPr>
          <w:noProof/>
        </w:rPr>
        <w:drawing>
          <wp:inline distT="0" distB="0" distL="0" distR="0" wp14:anchorId="1762FFDF" wp14:editId="40CF24D2">
            <wp:extent cx="6116320" cy="2179955"/>
            <wp:effectExtent l="0" t="0" r="0" b="0"/>
            <wp:docPr id="18" name="Picture 18" descr="This graph shows Council's sources of revenue for the period ended September 2022.&#10;&#10;Rates and utility charges $326.0 million&#10;Public transport revenue $90.8 million&#10;Fees and charges $52.6 million&#10;Developer contributions $28.2 million&#10;Grants and subsidies $26.0 million&#10;Other revenue $106.5 million&#10;Total revenue $630.1 million&#10;&#10;Other revenue includes other contributions and donations, interest revenue and other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graph shows Council's sources of revenue for the period ended September 2022.&#10;&#10;Rates and utility charges $326.0 million&#10;Public transport revenue $90.8 million&#10;Fees and charges $52.6 million&#10;Developer contributions $28.2 million&#10;Grants and subsidies $26.0 million&#10;Other revenue $106.5 million&#10;Total revenue $630.1 million&#10;&#10;Other revenue includes other contributions and donations, interest revenue and other revenue."/>
                    <pic:cNvPicPr/>
                  </pic:nvPicPr>
                  <pic:blipFill>
                    <a:blip r:embed="rId18"/>
                    <a:stretch>
                      <a:fillRect/>
                    </a:stretch>
                  </pic:blipFill>
                  <pic:spPr>
                    <a:xfrm>
                      <a:off x="0" y="0"/>
                      <a:ext cx="6116320" cy="2179955"/>
                    </a:xfrm>
                    <a:prstGeom prst="rect">
                      <a:avLst/>
                    </a:prstGeom>
                  </pic:spPr>
                </pic:pic>
              </a:graphicData>
            </a:graphic>
          </wp:inline>
        </w:drawing>
      </w:r>
    </w:p>
    <w:p w14:paraId="67CA7C81" w14:textId="21DA15DB" w:rsidR="00386B12" w:rsidRPr="007F4EA4" w:rsidRDefault="00386B12" w:rsidP="00386B12">
      <w:pPr>
        <w:jc w:val="both"/>
        <w:rPr>
          <w:rFonts w:cs="Arial"/>
          <w:b/>
          <w:bCs/>
          <w:i/>
          <w:iCs/>
          <w:color w:val="FF0000"/>
          <w:sz w:val="20"/>
          <w:szCs w:val="20"/>
        </w:rPr>
      </w:pPr>
    </w:p>
    <w:p w14:paraId="5E1753E0" w14:textId="359174FE" w:rsidR="00386B12" w:rsidRDefault="00386B12" w:rsidP="00386B12">
      <w:pPr>
        <w:jc w:val="both"/>
        <w:rPr>
          <w:rFonts w:cs="Arial"/>
          <w:i/>
          <w:iCs/>
          <w:color w:val="FF0000"/>
          <w:sz w:val="20"/>
          <w:szCs w:val="20"/>
        </w:rPr>
      </w:pPr>
    </w:p>
    <w:p w14:paraId="3FF9B19C" w14:textId="2DA0615E" w:rsidR="00386B12" w:rsidRDefault="00386B12" w:rsidP="00386B12">
      <w:pPr>
        <w:jc w:val="both"/>
        <w:rPr>
          <w:rFonts w:cs="Arial"/>
          <w:i/>
          <w:iCs/>
          <w:color w:val="FF0000"/>
          <w:sz w:val="20"/>
          <w:szCs w:val="20"/>
        </w:rPr>
      </w:pPr>
    </w:p>
    <w:p w14:paraId="28894E49" w14:textId="7A7C68F1" w:rsidR="00386B12" w:rsidRDefault="00386B12" w:rsidP="00386B12">
      <w:pPr>
        <w:jc w:val="both"/>
        <w:rPr>
          <w:rFonts w:cs="Arial"/>
          <w:sz w:val="20"/>
          <w:szCs w:val="20"/>
        </w:rPr>
      </w:pPr>
    </w:p>
    <w:p w14:paraId="1C82FE50" w14:textId="14E6A511" w:rsidR="00386B12" w:rsidRDefault="00386B12" w:rsidP="00386B12">
      <w:pPr>
        <w:jc w:val="both"/>
        <w:rPr>
          <w:rFonts w:cs="Arial"/>
          <w:b/>
          <w:bCs/>
          <w:color w:val="0070C0"/>
          <w:sz w:val="20"/>
          <w:szCs w:val="20"/>
        </w:rPr>
      </w:pPr>
    </w:p>
    <w:p w14:paraId="376DBFBF" w14:textId="79BF29BB" w:rsidR="00386B12" w:rsidRDefault="00386B12" w:rsidP="00EE10D2">
      <w:pPr>
        <w:pStyle w:val="Heading4black"/>
      </w:pPr>
      <w:r>
        <w:rPr>
          <w:color w:val="0070C0"/>
          <w:sz w:val="20"/>
          <w:szCs w:val="20"/>
        </w:rPr>
        <w:br w:type="page"/>
      </w:r>
      <w:r w:rsidRPr="00B24360">
        <w:lastRenderedPageBreak/>
        <w:t>Operating expenses</w:t>
      </w:r>
    </w:p>
    <w:p w14:paraId="5562C806" w14:textId="77777777" w:rsidR="00D3130C" w:rsidRPr="00D3130C" w:rsidRDefault="00D3130C" w:rsidP="00D3130C">
      <w:pPr>
        <w:pStyle w:val="NormalCouncilblue"/>
        <w:spacing w:after="0" w:line="240" w:lineRule="auto"/>
        <w:rPr>
          <w:b/>
          <w:bCs/>
        </w:rPr>
      </w:pPr>
    </w:p>
    <w:p w14:paraId="71C087CD" w14:textId="705B0766" w:rsidR="00AD0004" w:rsidRPr="0020705D" w:rsidRDefault="00AD0004" w:rsidP="00EE10D2">
      <w:r w:rsidRPr="0020705D">
        <w:t xml:space="preserve">Council’s operating expenses </w:t>
      </w:r>
      <w:r w:rsidR="00144BA6" w:rsidRPr="0020705D">
        <w:t xml:space="preserve">are </w:t>
      </w:r>
      <w:r w:rsidR="00917D7F" w:rsidRPr="0020705D">
        <w:t>below</w:t>
      </w:r>
      <w:r w:rsidR="00144BA6" w:rsidRPr="0020705D">
        <w:t xml:space="preserve"> budget mainly due to:</w:t>
      </w:r>
    </w:p>
    <w:p w14:paraId="5362967B" w14:textId="503D5AE0" w:rsidR="0020705D" w:rsidRPr="0020705D" w:rsidRDefault="00144BA6" w:rsidP="00EE10D2">
      <w:r w:rsidRPr="0020705D">
        <w:t xml:space="preserve">Rephased expenditure in the </w:t>
      </w:r>
      <w:r w:rsidR="0095332E">
        <w:t>City Governance program</w:t>
      </w:r>
      <w:r w:rsidRPr="0020705D">
        <w:t xml:space="preserve">, mainly relating to the phasing of corporate cost allocations to projects. </w:t>
      </w:r>
      <w:r w:rsidR="0020705D" w:rsidRPr="0020705D">
        <w:t>This is expected to materially align with the annual budget at the end of the financial year.</w:t>
      </w:r>
    </w:p>
    <w:p w14:paraId="612DAA74" w14:textId="77777777" w:rsidR="00E07684" w:rsidRPr="0020705D" w:rsidRDefault="00E07684" w:rsidP="00EE10D2">
      <w:r w:rsidRPr="0020705D">
        <w:t xml:space="preserve">Rephased expenditure in the </w:t>
      </w:r>
      <w:r>
        <w:t>Infrastructure for Brisbane program</w:t>
      </w:r>
      <w:r w:rsidRPr="0020705D">
        <w:t>, mainly relating to asset depreciation and loss on disposal expense. This is expected to materially align with the annual budget at the end of the financial year.</w:t>
      </w:r>
    </w:p>
    <w:p w14:paraId="427041A9" w14:textId="1E62FE89" w:rsidR="00917D7F" w:rsidRPr="0020705D" w:rsidRDefault="00917D7F" w:rsidP="00EE10D2">
      <w:r w:rsidRPr="0020705D">
        <w:t xml:space="preserve">Rephased expenditure in the </w:t>
      </w:r>
      <w:r w:rsidR="00BE4E02">
        <w:t>Future Brisbane program</w:t>
      </w:r>
      <w:r w:rsidRPr="0020705D">
        <w:t>, relating to the Future Development Services Enablement Project and development assessment and regulatory activities. This will continue to be monitored throughout the year.</w:t>
      </w:r>
    </w:p>
    <w:p w14:paraId="20284C8E" w14:textId="2051A335" w:rsidR="00AE6B20" w:rsidRPr="0020705D" w:rsidRDefault="00917D7F" w:rsidP="00EE10D2">
      <w:r w:rsidRPr="0020705D">
        <w:t xml:space="preserve">Partly offset by increased production </w:t>
      </w:r>
      <w:r w:rsidR="005221B3">
        <w:t>in the City Standards business</w:t>
      </w:r>
      <w:r w:rsidR="005221B3" w:rsidRPr="0020705D">
        <w:t xml:space="preserve"> </w:t>
      </w:r>
      <w:r w:rsidRPr="0020705D">
        <w:t>to meet higher than anticipated external demand for asphalt and quarry sales.</w:t>
      </w:r>
      <w:r w:rsidR="0020705D" w:rsidRPr="0020705D">
        <w:t xml:space="preserve"> This is expected to be adjusted in the next budget review.</w:t>
      </w:r>
    </w:p>
    <w:p w14:paraId="719BB608" w14:textId="77777777" w:rsidR="00144BA6" w:rsidRDefault="00144BA6" w:rsidP="00AD0004">
      <w:pPr>
        <w:jc w:val="both"/>
        <w:rPr>
          <w:rFonts w:cs="Arial"/>
        </w:rPr>
      </w:pPr>
    </w:p>
    <w:p w14:paraId="1D3CE837" w14:textId="2629C4F6" w:rsidR="00B24360" w:rsidRDefault="00ED4756" w:rsidP="00ED4756">
      <w:pPr>
        <w:jc w:val="center"/>
        <w:rPr>
          <w:rFonts w:cs="Arial"/>
          <w:sz w:val="20"/>
          <w:szCs w:val="20"/>
        </w:rPr>
      </w:pPr>
      <w:r>
        <w:rPr>
          <w:noProof/>
        </w:rPr>
        <w:drawing>
          <wp:inline distT="0" distB="0" distL="0" distR="0" wp14:anchorId="2B75CD63" wp14:editId="4C34BB1C">
            <wp:extent cx="6116320" cy="4154170"/>
            <wp:effectExtent l="0" t="0" r="0" b="0"/>
            <wp:docPr id="17" name="Picture 17" descr="This graph shows Council's operating expenses by category and program for the period ended September 2022.&#10;&#10;Operating expenses by category&#10;Materials and services $220.9 million&#10;Employee costs $185.0 million&#10;Depreciation and amortisation $131.5 million&#10;Finance costs $23.5 million&#10;Loss on disposal of property, plant and equipment and intangibles $6.3 million&#10;Other expenses $15.7 million&#10;Total operating expenses $582.9 million&#10;&#10;Operating expenses by program&#10;Transport for Brisbane $52.4 million&#10;Infrastructure for Brisbane $86.3 million&#10;Clean, Green and Sustainable City $62.1 million&#10;Lifestyle and Community Services $54.0 million&#10;City Standards, Community Health and Safety $117.2 million&#10;City Governance $81.2 million&#10;Other programs and businesses $129.8 million&#10;Total operating expense by program $582.9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graph shows Council's operating expenses by category and program for the period ended September 2022.&#10;&#10;Operating expenses by category&#10;Materials and services $220.9 million&#10;Employee costs $185.0 million&#10;Depreciation and amortisation $131.5 million&#10;Finance costs $23.5 million&#10;Loss on disposal of property, plant and equipment and intangibles $6.3 million&#10;Other expenses $15.7 million&#10;Total operating expenses $582.9 million&#10;&#10;Operating expenses by program&#10;Transport for Brisbane $52.4 million&#10;Infrastructure for Brisbane $86.3 million&#10;Clean, Green and Sustainable City $62.1 million&#10;Lifestyle and Community Services $54.0 million&#10;City Standards, Community Health and Safety $117.2 million&#10;City Governance $81.2 million&#10;Other programs and businesses $129.8 million&#10;Total operating expense by program $582.9 million"/>
                    <pic:cNvPicPr/>
                  </pic:nvPicPr>
                  <pic:blipFill>
                    <a:blip r:embed="rId19"/>
                    <a:stretch>
                      <a:fillRect/>
                    </a:stretch>
                  </pic:blipFill>
                  <pic:spPr>
                    <a:xfrm>
                      <a:off x="0" y="0"/>
                      <a:ext cx="6116320" cy="4154170"/>
                    </a:xfrm>
                    <a:prstGeom prst="rect">
                      <a:avLst/>
                    </a:prstGeom>
                  </pic:spPr>
                </pic:pic>
              </a:graphicData>
            </a:graphic>
          </wp:inline>
        </w:drawing>
      </w:r>
    </w:p>
    <w:p w14:paraId="3D7069B6" w14:textId="1A454E49" w:rsidR="00565B22" w:rsidRDefault="00565B22" w:rsidP="00386B12">
      <w:pPr>
        <w:jc w:val="both"/>
        <w:rPr>
          <w:rFonts w:cs="Arial"/>
          <w:sz w:val="20"/>
          <w:szCs w:val="20"/>
        </w:rPr>
      </w:pPr>
    </w:p>
    <w:p w14:paraId="21CF8217" w14:textId="53415FB3" w:rsidR="00AB0B4D" w:rsidRDefault="00AB0B4D" w:rsidP="00386B12">
      <w:pPr>
        <w:jc w:val="both"/>
        <w:rPr>
          <w:rFonts w:cs="Arial"/>
          <w:sz w:val="20"/>
          <w:szCs w:val="20"/>
        </w:rPr>
      </w:pPr>
    </w:p>
    <w:p w14:paraId="3E59AF6D" w14:textId="3EE6A1E7" w:rsidR="00565B22" w:rsidRDefault="00565B22" w:rsidP="00386B12">
      <w:pPr>
        <w:jc w:val="both"/>
        <w:rPr>
          <w:rFonts w:cs="Arial"/>
          <w:sz w:val="20"/>
          <w:szCs w:val="20"/>
        </w:rPr>
      </w:pPr>
    </w:p>
    <w:p w14:paraId="0BD59F2B" w14:textId="50E1BF28" w:rsidR="008834B2" w:rsidRDefault="008834B2">
      <w:pPr>
        <w:rPr>
          <w:rFonts w:cs="Arial"/>
          <w:sz w:val="20"/>
          <w:szCs w:val="20"/>
        </w:rPr>
      </w:pPr>
      <w:r>
        <w:rPr>
          <w:rFonts w:cs="Arial"/>
          <w:sz w:val="20"/>
          <w:szCs w:val="20"/>
        </w:rPr>
        <w:br w:type="page"/>
      </w:r>
    </w:p>
    <w:p w14:paraId="4D8C2AE4" w14:textId="40418AFD" w:rsidR="00386B12" w:rsidRDefault="00386B12" w:rsidP="00EE10D2">
      <w:pPr>
        <w:pStyle w:val="Heading4black"/>
      </w:pPr>
      <w:r w:rsidRPr="00B24360">
        <w:lastRenderedPageBreak/>
        <w:t>Capital expenditure</w:t>
      </w:r>
    </w:p>
    <w:p w14:paraId="2D7DDBB6" w14:textId="77777777" w:rsidR="000975D2" w:rsidRPr="000975D2" w:rsidRDefault="000975D2" w:rsidP="000975D2">
      <w:pPr>
        <w:pStyle w:val="NormalCouncilblue"/>
        <w:spacing w:after="0" w:line="240" w:lineRule="auto"/>
        <w:rPr>
          <w:b/>
          <w:bCs/>
        </w:rPr>
      </w:pPr>
    </w:p>
    <w:p w14:paraId="2B6EFADB" w14:textId="30E983BC" w:rsidR="00AD0004" w:rsidRPr="0034258F" w:rsidRDefault="00345311" w:rsidP="00EE10D2">
      <w:r w:rsidRPr="0034258F">
        <w:t>Council’</w:t>
      </w:r>
      <w:r w:rsidR="00AD0004" w:rsidRPr="0034258F">
        <w:t xml:space="preserve">s capital expenditure </w:t>
      </w:r>
      <w:r w:rsidRPr="0034258F">
        <w:t xml:space="preserve">is below budget during the </w:t>
      </w:r>
      <w:r w:rsidR="00AD0004" w:rsidRPr="0034258F">
        <w:t xml:space="preserve">period </w:t>
      </w:r>
      <w:r w:rsidRPr="0034258F">
        <w:t>mainly due to:</w:t>
      </w:r>
    </w:p>
    <w:p w14:paraId="22B2E9DB" w14:textId="09FCBFB6" w:rsidR="00917D7F" w:rsidRPr="0034258F" w:rsidRDefault="00917D7F" w:rsidP="00EE10D2">
      <w:r w:rsidRPr="0034258F">
        <w:t xml:space="preserve">Rephased expenditure in the </w:t>
      </w:r>
      <w:r w:rsidR="00FA677B">
        <w:t>Transport for Brisbane program</w:t>
      </w:r>
      <w:r w:rsidRPr="0034258F">
        <w:t xml:space="preserve">, mainly relating to the Brisbane Metro </w:t>
      </w:r>
      <w:r w:rsidR="00D42A13">
        <w:t xml:space="preserve">and </w:t>
      </w:r>
      <w:r w:rsidR="00D42A13" w:rsidRPr="0034258F">
        <w:t>Green Bridges Program</w:t>
      </w:r>
      <w:r w:rsidRPr="0034258F">
        <w:t>. Th</w:t>
      </w:r>
      <w:r w:rsidR="00D42A13">
        <w:t>ese are</w:t>
      </w:r>
      <w:r w:rsidRPr="0034258F">
        <w:t xml:space="preserve"> expected to materially align with the annual budget at the end of the financial year.</w:t>
      </w:r>
    </w:p>
    <w:p w14:paraId="41E28361" w14:textId="1C381968" w:rsidR="00800138" w:rsidRPr="0034258F" w:rsidRDefault="00800138" w:rsidP="00EE10D2">
      <w:r w:rsidRPr="0034258F">
        <w:t xml:space="preserve">Partly offset by accelerated expenditure in the </w:t>
      </w:r>
      <w:r w:rsidR="00520ED6">
        <w:t>Infrastructure for Brisbane program</w:t>
      </w:r>
      <w:r w:rsidRPr="0034258F">
        <w:t xml:space="preserve">, mainly relating to projects including </w:t>
      </w:r>
      <w:r w:rsidR="00B01F71" w:rsidRPr="0034258F">
        <w:t>Roads Network Resurfacing</w:t>
      </w:r>
      <w:r w:rsidR="00B01F71">
        <w:t xml:space="preserve">, </w:t>
      </w:r>
      <w:proofErr w:type="spellStart"/>
      <w:r w:rsidRPr="0034258F">
        <w:t>Rochedale</w:t>
      </w:r>
      <w:proofErr w:type="spellEnd"/>
      <w:r w:rsidRPr="0034258F">
        <w:t xml:space="preserve"> Road and </w:t>
      </w:r>
      <w:proofErr w:type="spellStart"/>
      <w:r w:rsidRPr="0034258F">
        <w:t>Priestdale</w:t>
      </w:r>
      <w:proofErr w:type="spellEnd"/>
      <w:r w:rsidRPr="0034258F">
        <w:t xml:space="preserve"> Road, Major Traffic Improvements – Intersections, Traffic Signals Hardware Equipment, </w:t>
      </w:r>
      <w:proofErr w:type="spellStart"/>
      <w:r w:rsidRPr="0034258F">
        <w:t>Moggill</w:t>
      </w:r>
      <w:proofErr w:type="spellEnd"/>
      <w:r w:rsidRPr="0034258F">
        <w:t xml:space="preserve"> Road Corridor Upgrade, Beams Road and Gresham Street Bridge. These are expected to materially align with the annual budget by the end of the financial year.</w:t>
      </w:r>
    </w:p>
    <w:p w14:paraId="29242855" w14:textId="31D8E1C4" w:rsidR="00386B12" w:rsidRDefault="00386B12" w:rsidP="00386B12">
      <w:pPr>
        <w:jc w:val="both"/>
        <w:rPr>
          <w:noProof/>
        </w:rPr>
      </w:pPr>
    </w:p>
    <w:p w14:paraId="6859EE79" w14:textId="58370201" w:rsidR="00427C75" w:rsidRDefault="003466FD" w:rsidP="00386B12">
      <w:pPr>
        <w:jc w:val="both"/>
      </w:pPr>
      <w:r>
        <w:rPr>
          <w:noProof/>
        </w:rPr>
        <w:drawing>
          <wp:inline distT="0" distB="0" distL="0" distR="0" wp14:anchorId="5154D70D" wp14:editId="5766D650">
            <wp:extent cx="6116320" cy="4049395"/>
            <wp:effectExtent l="0" t="0" r="0" b="8255"/>
            <wp:docPr id="27" name="Picture 27" descr="This graph shows Council's capital expenditure by program and top five capital expenditure by project for the period ended September 2022.&#10;&#10;Capital expenditure by program&#10;Transport for Brisbane $130.4 million&#10;Infrastructure for Brisbane $75.3 million&#10;Clean, Green and Sustainable City $21.9 million&#10;Lifestyle and Community Services $4.4 million&#10;City Standards, Community Health and Safety $5.8 million&#10;City Governance $5.9 million&#10;Other programs and businesses $1.9 million&#10;Total capital expenditure by program $245.6 million&#10;&#10;Top 5 capital expenditure by project&#10;Brisbane Metro $90.4 million&#10;Green Bridges Program $31.9 million&#10;Roads Network Resurfacing $25.2 million&#10;Moggill Road Corridor Upgrade $15.7 million&#10;Rochedale Road and Priestdale Road $7.9 million&#10;Others (135 projects) $74.5 million&#10;Total capital expenditure by project $245.6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is graph shows Council's capital expenditure by program and top five capital expenditure by project for the period ended September 2022.&#10;&#10;Capital expenditure by program&#10;Transport for Brisbane $130.4 million&#10;Infrastructure for Brisbane $75.3 million&#10;Clean, Green and Sustainable City $21.9 million&#10;Lifestyle and Community Services $4.4 million&#10;City Standards, Community Health and Safety $5.8 million&#10;City Governance $5.9 million&#10;Other programs and businesses $1.9 million&#10;Total capital expenditure by program $245.6 million&#10;&#10;Top 5 capital expenditure by project&#10;Brisbane Metro $90.4 million&#10;Green Bridges Program $31.9 million&#10;Roads Network Resurfacing $25.2 million&#10;Moggill Road Corridor Upgrade $15.7 million&#10;Rochedale Road and Priestdale Road $7.9 million&#10;Others (135 projects) $74.5 million&#10;Total capital expenditure by project $245.6 million"/>
                    <pic:cNvPicPr/>
                  </pic:nvPicPr>
                  <pic:blipFill>
                    <a:blip r:embed="rId20"/>
                    <a:stretch>
                      <a:fillRect/>
                    </a:stretch>
                  </pic:blipFill>
                  <pic:spPr>
                    <a:xfrm>
                      <a:off x="0" y="0"/>
                      <a:ext cx="6116320" cy="4049395"/>
                    </a:xfrm>
                    <a:prstGeom prst="rect">
                      <a:avLst/>
                    </a:prstGeom>
                  </pic:spPr>
                </pic:pic>
              </a:graphicData>
            </a:graphic>
          </wp:inline>
        </w:drawing>
      </w:r>
    </w:p>
    <w:p w14:paraId="6B2BFB59" w14:textId="1A230D68" w:rsidR="00386B12" w:rsidRDefault="00386B12" w:rsidP="00386B12">
      <w:pPr>
        <w:jc w:val="both"/>
      </w:pPr>
    </w:p>
    <w:p w14:paraId="4DC6064D" w14:textId="77777777" w:rsidR="00261C66" w:rsidRDefault="00261C66" w:rsidP="00386B12">
      <w:pPr>
        <w:jc w:val="both"/>
      </w:pPr>
    </w:p>
    <w:p w14:paraId="11568790" w14:textId="7F6F50A5" w:rsidR="00386B12" w:rsidRDefault="00386B12" w:rsidP="00386B12">
      <w:pPr>
        <w:jc w:val="both"/>
      </w:pPr>
    </w:p>
    <w:p w14:paraId="3F9B471A" w14:textId="6CEEE572" w:rsidR="00386B12" w:rsidRDefault="00386B12" w:rsidP="00386B12">
      <w:pPr>
        <w:jc w:val="both"/>
      </w:pPr>
    </w:p>
    <w:p w14:paraId="4303753B" w14:textId="77777777" w:rsidR="00386B12" w:rsidRDefault="00386B12" w:rsidP="00386B12">
      <w:pPr>
        <w:jc w:val="both"/>
      </w:pPr>
    </w:p>
    <w:p w14:paraId="76B52887" w14:textId="77777777" w:rsidR="00386B12" w:rsidRDefault="00386B12" w:rsidP="00386B12"/>
    <w:p w14:paraId="1EE0C9EB" w14:textId="7E65F5EB" w:rsidR="00386B12" w:rsidRDefault="00386B12" w:rsidP="00386B12">
      <w:pPr>
        <w:rPr>
          <w:rFonts w:cs="Arial"/>
          <w:b/>
          <w:bCs/>
          <w:color w:val="4472C4" w:themeColor="accent1"/>
          <w:sz w:val="20"/>
          <w:szCs w:val="20"/>
        </w:rPr>
      </w:pPr>
      <w:r>
        <w:rPr>
          <w:rFonts w:cs="Arial"/>
          <w:b/>
          <w:bCs/>
          <w:color w:val="4472C4" w:themeColor="accent1"/>
          <w:sz w:val="20"/>
          <w:szCs w:val="20"/>
        </w:rPr>
        <w:br w:type="page"/>
      </w:r>
    </w:p>
    <w:p w14:paraId="30AEEE0D" w14:textId="4E476B6C" w:rsidR="00386B12" w:rsidRDefault="00386B12" w:rsidP="00EE10D2">
      <w:pPr>
        <w:pStyle w:val="Heading4black"/>
      </w:pPr>
      <w:r w:rsidRPr="00B24360">
        <w:lastRenderedPageBreak/>
        <w:t>Financial position overview</w:t>
      </w:r>
    </w:p>
    <w:p w14:paraId="24F10047" w14:textId="77777777" w:rsidR="000975D2" w:rsidRPr="000975D2" w:rsidRDefault="000975D2" w:rsidP="000975D2">
      <w:pPr>
        <w:pStyle w:val="NormalCouncilblue"/>
        <w:spacing w:after="0" w:line="240" w:lineRule="auto"/>
        <w:rPr>
          <w:b/>
          <w:bCs/>
        </w:rPr>
      </w:pPr>
    </w:p>
    <w:p w14:paraId="6B48AF3A" w14:textId="607AE168" w:rsidR="00AD0004" w:rsidRPr="0034258F" w:rsidRDefault="00AD0004" w:rsidP="00AD0004">
      <w:pPr>
        <w:jc w:val="both"/>
        <w:rPr>
          <w:rFonts w:cs="Arial"/>
          <w:szCs w:val="22"/>
        </w:rPr>
      </w:pPr>
      <w:r w:rsidRPr="0034258F">
        <w:rPr>
          <w:rFonts w:cs="Arial"/>
          <w:szCs w:val="22"/>
        </w:rPr>
        <w:t>Council’s net assets increased by $</w:t>
      </w:r>
      <w:r w:rsidR="00256AC9" w:rsidRPr="0034258F">
        <w:rPr>
          <w:rFonts w:cs="Arial"/>
          <w:szCs w:val="22"/>
        </w:rPr>
        <w:t>41.5</w:t>
      </w:r>
      <w:r w:rsidRPr="0034258F">
        <w:rPr>
          <w:rFonts w:cs="Arial"/>
          <w:szCs w:val="22"/>
        </w:rPr>
        <w:t xml:space="preserve"> million compared to June 2022, mainly in accumulated surplus as a result of an increase in operating capability for the period. Refer to statement of financial position on page 10.</w:t>
      </w:r>
    </w:p>
    <w:p w14:paraId="0F8F25E1" w14:textId="6BC717C2" w:rsidR="00386B12" w:rsidRPr="00AF4675" w:rsidRDefault="00386B12" w:rsidP="000975D2">
      <w:pPr>
        <w:jc w:val="both"/>
        <w:rPr>
          <w:rFonts w:cs="Arial"/>
          <w:szCs w:val="22"/>
        </w:rPr>
      </w:pPr>
    </w:p>
    <w:p w14:paraId="01ACEDFA" w14:textId="4CA468CD" w:rsidR="00386B12" w:rsidRDefault="00386B12" w:rsidP="00EE10D2">
      <w:pPr>
        <w:pStyle w:val="Heading4black"/>
      </w:pPr>
      <w:r w:rsidRPr="00B24360">
        <w:t xml:space="preserve">Measures of </w:t>
      </w:r>
      <w:r w:rsidR="00FE68A5" w:rsidRPr="00B24360">
        <w:t>f</w:t>
      </w:r>
      <w:r w:rsidRPr="00B24360">
        <w:t xml:space="preserve">inancial </w:t>
      </w:r>
      <w:r w:rsidR="00FE68A5" w:rsidRPr="00B24360">
        <w:t>s</w:t>
      </w:r>
      <w:r w:rsidRPr="00B24360">
        <w:t xml:space="preserve">ustainability </w:t>
      </w:r>
    </w:p>
    <w:p w14:paraId="5A55657A" w14:textId="77777777" w:rsidR="000975D2" w:rsidRPr="000975D2" w:rsidRDefault="000975D2" w:rsidP="000975D2">
      <w:pPr>
        <w:pStyle w:val="NormalCouncilblue"/>
        <w:spacing w:after="0" w:line="240" w:lineRule="auto"/>
        <w:rPr>
          <w:b/>
          <w:bCs/>
        </w:rPr>
      </w:pPr>
    </w:p>
    <w:p w14:paraId="62323D00" w14:textId="461D7F20" w:rsidR="00386B12" w:rsidRDefault="00386B12" w:rsidP="000975D2">
      <w:pPr>
        <w:jc w:val="both"/>
        <w:rPr>
          <w:rFonts w:eastAsia="Calibri" w:cs="Arial"/>
          <w:szCs w:val="22"/>
        </w:rPr>
      </w:pPr>
      <w:r w:rsidRPr="00AF4675">
        <w:rPr>
          <w:rFonts w:eastAsia="Calibri" w:cs="Arial"/>
          <w:szCs w:val="22"/>
        </w:rPr>
        <w:t>Financial ratios provide Council with insights about its liquidity, operational efficiency and financial sustainability. The financial ratios for the period are as follows:</w:t>
      </w:r>
    </w:p>
    <w:p w14:paraId="063FE782" w14:textId="1D9F23D7" w:rsidR="00DC74F2" w:rsidRPr="00AF4675" w:rsidRDefault="00DC74F2" w:rsidP="00386B12">
      <w:pPr>
        <w:jc w:val="both"/>
        <w:rPr>
          <w:rFonts w:cs="Arial"/>
          <w:szCs w:val="22"/>
        </w:rPr>
      </w:pPr>
    </w:p>
    <w:tbl>
      <w:tblPr>
        <w:tblStyle w:val="ListTable3-Accent1"/>
        <w:tblW w:w="9649" w:type="dxa"/>
        <w:tblBorders>
          <w:insideH w:val="single" w:sz="4" w:space="0" w:color="4472C4" w:themeColor="accent1"/>
        </w:tblBorders>
        <w:tblLayout w:type="fixed"/>
        <w:tblLook w:val="04A0" w:firstRow="1" w:lastRow="0" w:firstColumn="1" w:lastColumn="0" w:noHBand="0" w:noVBand="1"/>
        <w:tblCaption w:val="Measures of Financial Sustainability "/>
        <w:tblDescription w:val="This table shows Brisbane City Council’s financial rations for the period ended September 2022. Operating surplus ration actual 1.04 percent, budget negative 3.23 percent. The Operating surplus ratio measures the extent to which operating revenue raised covers operational expenses only or are available for capital funding purposes or other purposes.&#10;cash cover ratio actual 7.5, budget 6.0 the cash cover ration measures the extent to which available cash covers operational cash expenses. &#10;Leverage ratio actual 6.6, budget 6.1 the leverage ratio measures the extent to which council is utilising debt borrowings.&#10;Debt per Capita actual $2,279 budget $2,453. Debt per Capita measures councils debt relative to population.&#10;"/>
      </w:tblPr>
      <w:tblGrid>
        <w:gridCol w:w="6139"/>
        <w:gridCol w:w="1755"/>
        <w:gridCol w:w="1755"/>
      </w:tblGrid>
      <w:tr w:rsidR="00B27392" w:rsidRPr="00AF4675" w14:paraId="459B252F" w14:textId="77777777" w:rsidTr="00892B8A">
        <w:trPr>
          <w:cnfStyle w:val="100000000000" w:firstRow="1" w:lastRow="0" w:firstColumn="0" w:lastColumn="0" w:oddVBand="0" w:evenVBand="0" w:oddHBand="0" w:evenHBand="0" w:firstRowFirstColumn="0" w:firstRowLastColumn="0" w:lastRowFirstColumn="0" w:lastRowLastColumn="0"/>
          <w:trHeight w:val="257"/>
        </w:trPr>
        <w:tc>
          <w:tcPr>
            <w:cnfStyle w:val="001000000100" w:firstRow="0" w:lastRow="0" w:firstColumn="1" w:lastColumn="0" w:oddVBand="0" w:evenVBand="0" w:oddHBand="0" w:evenHBand="0" w:firstRowFirstColumn="1" w:firstRowLastColumn="0" w:lastRowFirstColumn="0" w:lastRowLastColumn="0"/>
            <w:tcW w:w="6139" w:type="dxa"/>
            <w:tcBorders>
              <w:bottom w:val="single" w:sz="4" w:space="0" w:color="4472C4" w:themeColor="accent1"/>
            </w:tcBorders>
            <w:shd w:val="clear" w:color="auto" w:fill="0067B1"/>
          </w:tcPr>
          <w:p w14:paraId="3C5B1726" w14:textId="77777777" w:rsidR="00B27392" w:rsidRPr="00AF4675" w:rsidRDefault="00B27392" w:rsidP="00EE10D2">
            <w:r w:rsidRPr="00AF4675">
              <w:t xml:space="preserve"> </w:t>
            </w:r>
          </w:p>
        </w:tc>
        <w:tc>
          <w:tcPr>
            <w:tcW w:w="1755" w:type="dxa"/>
            <w:shd w:val="clear" w:color="auto" w:fill="0067B1"/>
          </w:tcPr>
          <w:p w14:paraId="789FE738" w14:textId="1B2EE4B5" w:rsidR="00B27392" w:rsidRDefault="00B27392" w:rsidP="00EE10D2">
            <w:pPr>
              <w:cnfStyle w:val="100000000000" w:firstRow="1" w:lastRow="0" w:firstColumn="0" w:lastColumn="0" w:oddVBand="0" w:evenVBand="0" w:oddHBand="0" w:evenHBand="0" w:firstRowFirstColumn="0" w:firstRowLastColumn="0" w:lastRowFirstColumn="0" w:lastRowLastColumn="0"/>
            </w:pPr>
            <w:r w:rsidRPr="00AF4675">
              <w:t>Actual*</w:t>
            </w:r>
          </w:p>
        </w:tc>
        <w:tc>
          <w:tcPr>
            <w:tcW w:w="1755" w:type="dxa"/>
            <w:shd w:val="clear" w:color="auto" w:fill="0067B1"/>
          </w:tcPr>
          <w:p w14:paraId="0D93D7BD" w14:textId="759F3ACE" w:rsidR="00B27392" w:rsidRPr="00AF4675" w:rsidRDefault="00B27392" w:rsidP="00EE10D2">
            <w:pPr>
              <w:cnfStyle w:val="100000000000" w:firstRow="1" w:lastRow="0" w:firstColumn="0" w:lastColumn="0" w:oddVBand="0" w:evenVBand="0" w:oddHBand="0" w:evenHBand="0" w:firstRowFirstColumn="0" w:firstRowLastColumn="0" w:lastRowFirstColumn="0" w:lastRowLastColumn="0"/>
            </w:pPr>
            <w:r>
              <w:t>B</w:t>
            </w:r>
            <w:r w:rsidRPr="00AF4675">
              <w:t>udget</w:t>
            </w:r>
            <w:r w:rsidRPr="00536887">
              <w:rPr>
                <w:vertAlign w:val="superscript"/>
              </w:rPr>
              <w:t>#</w:t>
            </w:r>
            <w:r>
              <w:t xml:space="preserve"> </w:t>
            </w:r>
          </w:p>
        </w:tc>
      </w:tr>
      <w:tr w:rsidR="00B27392" w:rsidRPr="00AF4675" w14:paraId="14358EA6" w14:textId="77777777" w:rsidTr="00892B8A">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6139" w:type="dxa"/>
          </w:tcPr>
          <w:p w14:paraId="6BEE4C9F" w14:textId="77777777" w:rsidR="00B27392" w:rsidRPr="00AF4675" w:rsidRDefault="00B27392" w:rsidP="00EE10D2">
            <w:pPr>
              <w:rPr>
                <w:b w:val="0"/>
                <w:bCs w:val="0"/>
              </w:rPr>
            </w:pPr>
            <w:r w:rsidRPr="00AF4675">
              <w:t>Operating surplus ratio</w:t>
            </w:r>
          </w:p>
          <w:p w14:paraId="6D9EDCEB" w14:textId="77777777" w:rsidR="00DB6510" w:rsidRDefault="00B27392" w:rsidP="00EE10D2">
            <w:pPr>
              <w:rPr>
                <w:i/>
                <w:iCs/>
              </w:rPr>
            </w:pPr>
            <w:bookmarkStart w:id="6" w:name="_Hlk127432836"/>
            <w:r w:rsidRPr="00AF4675">
              <w:rPr>
                <w:b w:val="0"/>
                <w:bCs w:val="0"/>
                <w:i/>
                <w:iCs/>
              </w:rPr>
              <w:t>Measures the extent to which operating revenue raised covers operational expenses only or are available for capital funding purposes or other purposes.</w:t>
            </w:r>
          </w:p>
          <w:bookmarkEnd w:id="6"/>
          <w:p w14:paraId="4ADE794F" w14:textId="68931523" w:rsidR="00DB6510" w:rsidRPr="00DB6510" w:rsidRDefault="00DB6510" w:rsidP="00EE10D2">
            <w:pPr>
              <w:rPr>
                <w:b w:val="0"/>
                <w:bCs w:val="0"/>
              </w:rPr>
            </w:pPr>
          </w:p>
        </w:tc>
        <w:tc>
          <w:tcPr>
            <w:tcW w:w="1755" w:type="dxa"/>
          </w:tcPr>
          <w:p w14:paraId="151B526B" w14:textId="1A5AFD39" w:rsidR="00B27392" w:rsidRPr="009E746E" w:rsidRDefault="009E746E" w:rsidP="00EE10D2">
            <w:pPr>
              <w:cnfStyle w:val="000000100000" w:firstRow="0" w:lastRow="0" w:firstColumn="0" w:lastColumn="0" w:oddVBand="0" w:evenVBand="0" w:oddHBand="1" w:evenHBand="0" w:firstRowFirstColumn="0" w:firstRowLastColumn="0" w:lastRowFirstColumn="0" w:lastRowLastColumn="0"/>
            </w:pPr>
            <w:r w:rsidRPr="009E746E">
              <w:t>1.04%</w:t>
            </w:r>
            <w:r w:rsidR="00B27392" w:rsidRPr="009E746E">
              <w:t xml:space="preserve"> </w:t>
            </w:r>
          </w:p>
        </w:tc>
        <w:tc>
          <w:tcPr>
            <w:tcW w:w="1755" w:type="dxa"/>
          </w:tcPr>
          <w:p w14:paraId="53E09FC5" w14:textId="2677B51B" w:rsidR="00B27392" w:rsidRPr="00B00AEC" w:rsidRDefault="00B27392" w:rsidP="00EE10D2">
            <w:pPr>
              <w:cnfStyle w:val="000000100000" w:firstRow="0" w:lastRow="0" w:firstColumn="0" w:lastColumn="0" w:oddVBand="0" w:evenVBand="0" w:oddHBand="1" w:evenHBand="0" w:firstRowFirstColumn="0" w:firstRowLastColumn="0" w:lastRowFirstColumn="0" w:lastRowLastColumn="0"/>
            </w:pPr>
            <w:r w:rsidRPr="00B00AEC">
              <w:t xml:space="preserve"> </w:t>
            </w:r>
            <w:r w:rsidR="00B00AEC" w:rsidRPr="00B00AEC">
              <w:t>-3.23</w:t>
            </w:r>
            <w:r w:rsidRPr="00B00AEC">
              <w:t>%</w:t>
            </w:r>
          </w:p>
        </w:tc>
      </w:tr>
      <w:tr w:rsidR="00B27392" w:rsidRPr="00AF4675" w14:paraId="290831C8" w14:textId="77777777" w:rsidTr="00892B8A">
        <w:trPr>
          <w:trHeight w:val="699"/>
        </w:trPr>
        <w:tc>
          <w:tcPr>
            <w:cnfStyle w:val="001000000000" w:firstRow="0" w:lastRow="0" w:firstColumn="1" w:lastColumn="0" w:oddVBand="0" w:evenVBand="0" w:oddHBand="0" w:evenHBand="0" w:firstRowFirstColumn="0" w:firstRowLastColumn="0" w:lastRowFirstColumn="0" w:lastRowLastColumn="0"/>
            <w:tcW w:w="6139" w:type="dxa"/>
          </w:tcPr>
          <w:p w14:paraId="65AE27AE" w14:textId="65CB78D2" w:rsidR="00B27392" w:rsidRPr="00AF4675" w:rsidRDefault="00B27392" w:rsidP="00EE10D2">
            <w:r w:rsidRPr="00AF4675">
              <w:t>Cash cover ratio</w:t>
            </w:r>
          </w:p>
          <w:p w14:paraId="72A73C88" w14:textId="028E1138" w:rsidR="00B27392" w:rsidRDefault="00B27392" w:rsidP="00EE10D2">
            <w:bookmarkStart w:id="7" w:name="_Hlk127433108"/>
            <w:r w:rsidRPr="00AF4675">
              <w:rPr>
                <w:b w:val="0"/>
                <w:bCs w:val="0"/>
                <w:i/>
                <w:iCs/>
              </w:rPr>
              <w:t>Measures the extent to which available cash covers operational cash expenses.</w:t>
            </w:r>
            <w:r w:rsidRPr="00AF4675">
              <w:rPr>
                <w:b w:val="0"/>
                <w:bCs w:val="0"/>
              </w:rPr>
              <w:t xml:space="preserve"> </w:t>
            </w:r>
          </w:p>
          <w:bookmarkEnd w:id="7"/>
          <w:p w14:paraId="44F06DF7" w14:textId="09FE0F8D" w:rsidR="000975D2" w:rsidRPr="00DB6510" w:rsidRDefault="000975D2" w:rsidP="00EE10D2">
            <w:pPr>
              <w:rPr>
                <w:b w:val="0"/>
                <w:bCs w:val="0"/>
              </w:rPr>
            </w:pPr>
          </w:p>
        </w:tc>
        <w:tc>
          <w:tcPr>
            <w:tcW w:w="1755" w:type="dxa"/>
          </w:tcPr>
          <w:p w14:paraId="4406F45A" w14:textId="5DE39CDA" w:rsidR="00B27392" w:rsidRPr="009E746E" w:rsidRDefault="009E746E" w:rsidP="00EE10D2">
            <w:pPr>
              <w:cnfStyle w:val="000000000000" w:firstRow="0" w:lastRow="0" w:firstColumn="0" w:lastColumn="0" w:oddVBand="0" w:evenVBand="0" w:oddHBand="0" w:evenHBand="0" w:firstRowFirstColumn="0" w:firstRowLastColumn="0" w:lastRowFirstColumn="0" w:lastRowLastColumn="0"/>
            </w:pPr>
            <w:r w:rsidRPr="009E746E">
              <w:t>7.</w:t>
            </w:r>
            <w:r w:rsidR="00D67B8B">
              <w:t>5</w:t>
            </w:r>
            <w:r w:rsidR="00B27392" w:rsidRPr="009E746E">
              <w:t xml:space="preserve"> </w:t>
            </w:r>
          </w:p>
        </w:tc>
        <w:tc>
          <w:tcPr>
            <w:tcW w:w="1755" w:type="dxa"/>
          </w:tcPr>
          <w:p w14:paraId="56B786D4" w14:textId="6C0D768E" w:rsidR="00B27392" w:rsidRPr="00B00AEC" w:rsidRDefault="00B27392" w:rsidP="00EE10D2">
            <w:pPr>
              <w:cnfStyle w:val="000000000000" w:firstRow="0" w:lastRow="0" w:firstColumn="0" w:lastColumn="0" w:oddVBand="0" w:evenVBand="0" w:oddHBand="0" w:evenHBand="0" w:firstRowFirstColumn="0" w:firstRowLastColumn="0" w:lastRowFirstColumn="0" w:lastRowLastColumn="0"/>
            </w:pPr>
            <w:r w:rsidRPr="00B00AEC">
              <w:t xml:space="preserve"> </w:t>
            </w:r>
            <w:r w:rsidR="00B00AEC" w:rsidRPr="00B00AEC">
              <w:t>6.0</w:t>
            </w:r>
          </w:p>
        </w:tc>
      </w:tr>
      <w:tr w:rsidR="00B27392" w:rsidRPr="00AF4675" w14:paraId="5FDD89B2" w14:textId="77777777" w:rsidTr="00892B8A">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6139" w:type="dxa"/>
          </w:tcPr>
          <w:p w14:paraId="3A6A9874" w14:textId="77777777" w:rsidR="00B27392" w:rsidRPr="00AF4675" w:rsidRDefault="00B27392" w:rsidP="00EE10D2">
            <w:r w:rsidRPr="00AF4675">
              <w:t>Leverage ratio</w:t>
            </w:r>
          </w:p>
          <w:p w14:paraId="29AC5DC9" w14:textId="28016AD3" w:rsidR="00B27392" w:rsidRDefault="00B27392" w:rsidP="00EE10D2">
            <w:r w:rsidRPr="00AF4675">
              <w:rPr>
                <w:b w:val="0"/>
                <w:bCs w:val="0"/>
                <w:i/>
                <w:iCs/>
              </w:rPr>
              <w:t>Measures the extent to which Council is utilising debt borrowings.</w:t>
            </w:r>
            <w:r w:rsidRPr="00AF4675">
              <w:rPr>
                <w:b w:val="0"/>
                <w:bCs w:val="0"/>
              </w:rPr>
              <w:t xml:space="preserve"> </w:t>
            </w:r>
          </w:p>
          <w:p w14:paraId="266768F8" w14:textId="14CA22F9" w:rsidR="000975D2" w:rsidRPr="00DB6510" w:rsidRDefault="000975D2" w:rsidP="00EE10D2">
            <w:pPr>
              <w:rPr>
                <w:b w:val="0"/>
                <w:bCs w:val="0"/>
              </w:rPr>
            </w:pPr>
          </w:p>
        </w:tc>
        <w:tc>
          <w:tcPr>
            <w:tcW w:w="1755" w:type="dxa"/>
          </w:tcPr>
          <w:p w14:paraId="2B980A79" w14:textId="1080DCB3" w:rsidR="00B27392" w:rsidRPr="009E746E" w:rsidRDefault="009E746E" w:rsidP="00EE10D2">
            <w:pPr>
              <w:cnfStyle w:val="000000100000" w:firstRow="0" w:lastRow="0" w:firstColumn="0" w:lastColumn="0" w:oddVBand="0" w:evenVBand="0" w:oddHBand="1" w:evenHBand="0" w:firstRowFirstColumn="0" w:firstRowLastColumn="0" w:lastRowFirstColumn="0" w:lastRowLastColumn="0"/>
            </w:pPr>
            <w:r w:rsidRPr="009E746E">
              <w:t>6.6</w:t>
            </w:r>
            <w:r w:rsidR="00B27392" w:rsidRPr="009E746E">
              <w:t xml:space="preserve"> </w:t>
            </w:r>
          </w:p>
        </w:tc>
        <w:tc>
          <w:tcPr>
            <w:tcW w:w="1755" w:type="dxa"/>
          </w:tcPr>
          <w:p w14:paraId="6832A8DD" w14:textId="3A4C2268" w:rsidR="00B27392" w:rsidRPr="00B00AEC" w:rsidRDefault="00B27392" w:rsidP="00EE10D2">
            <w:pPr>
              <w:cnfStyle w:val="000000100000" w:firstRow="0" w:lastRow="0" w:firstColumn="0" w:lastColumn="0" w:oddVBand="0" w:evenVBand="0" w:oddHBand="1" w:evenHBand="0" w:firstRowFirstColumn="0" w:firstRowLastColumn="0" w:lastRowFirstColumn="0" w:lastRowLastColumn="0"/>
            </w:pPr>
            <w:r w:rsidRPr="00B00AEC">
              <w:t xml:space="preserve"> </w:t>
            </w:r>
            <w:r w:rsidR="00B00AEC" w:rsidRPr="00B00AEC">
              <w:t>6.1</w:t>
            </w:r>
          </w:p>
        </w:tc>
      </w:tr>
      <w:tr w:rsidR="00B27392" w:rsidRPr="00AF4675" w14:paraId="1F82605F" w14:textId="77777777" w:rsidTr="00892B8A">
        <w:trPr>
          <w:trHeight w:val="772"/>
        </w:trPr>
        <w:tc>
          <w:tcPr>
            <w:cnfStyle w:val="001000000000" w:firstRow="0" w:lastRow="0" w:firstColumn="1" w:lastColumn="0" w:oddVBand="0" w:evenVBand="0" w:oddHBand="0" w:evenHBand="0" w:firstRowFirstColumn="0" w:firstRowLastColumn="0" w:lastRowFirstColumn="0" w:lastRowLastColumn="0"/>
            <w:tcW w:w="6139" w:type="dxa"/>
          </w:tcPr>
          <w:p w14:paraId="50F85073" w14:textId="0643C3D0" w:rsidR="00B27392" w:rsidRPr="00AF4675" w:rsidRDefault="00B27392" w:rsidP="00EE10D2">
            <w:r w:rsidRPr="00AF4675">
              <w:t>Debt per capita</w:t>
            </w:r>
          </w:p>
          <w:p w14:paraId="3347ECBF" w14:textId="1CAC7A03" w:rsidR="00B27392" w:rsidRDefault="00B27392" w:rsidP="00EE10D2">
            <w:r w:rsidRPr="00AF4675">
              <w:rPr>
                <w:b w:val="0"/>
                <w:bCs w:val="0"/>
                <w:i/>
                <w:iCs/>
              </w:rPr>
              <w:t>Measures Council’s debt relative to population.</w:t>
            </w:r>
            <w:r w:rsidRPr="00AF4675">
              <w:rPr>
                <w:b w:val="0"/>
                <w:bCs w:val="0"/>
              </w:rPr>
              <w:t xml:space="preserve"> </w:t>
            </w:r>
          </w:p>
          <w:p w14:paraId="61331CFF" w14:textId="6C75D874" w:rsidR="000975D2" w:rsidRPr="00DB6510" w:rsidRDefault="000975D2" w:rsidP="00EE10D2">
            <w:pPr>
              <w:rPr>
                <w:b w:val="0"/>
                <w:bCs w:val="0"/>
              </w:rPr>
            </w:pPr>
          </w:p>
        </w:tc>
        <w:tc>
          <w:tcPr>
            <w:tcW w:w="1755" w:type="dxa"/>
          </w:tcPr>
          <w:p w14:paraId="47B2E1FA" w14:textId="1ACBBD6F" w:rsidR="00B27392" w:rsidRPr="009E746E" w:rsidRDefault="009E746E" w:rsidP="00EE10D2">
            <w:pPr>
              <w:cnfStyle w:val="000000000000" w:firstRow="0" w:lastRow="0" w:firstColumn="0" w:lastColumn="0" w:oddVBand="0" w:evenVBand="0" w:oddHBand="0" w:evenHBand="0" w:firstRowFirstColumn="0" w:firstRowLastColumn="0" w:lastRowFirstColumn="0" w:lastRowLastColumn="0"/>
            </w:pPr>
            <w:r w:rsidRPr="009E746E">
              <w:t>$2,279</w:t>
            </w:r>
          </w:p>
        </w:tc>
        <w:tc>
          <w:tcPr>
            <w:tcW w:w="1755" w:type="dxa"/>
          </w:tcPr>
          <w:p w14:paraId="00EC5EF2" w14:textId="71F2755F" w:rsidR="00B27392" w:rsidRPr="00B00AEC" w:rsidRDefault="00B27392" w:rsidP="00EE10D2">
            <w:pPr>
              <w:cnfStyle w:val="000000000000" w:firstRow="0" w:lastRow="0" w:firstColumn="0" w:lastColumn="0" w:oddVBand="0" w:evenVBand="0" w:oddHBand="0" w:evenHBand="0" w:firstRowFirstColumn="0" w:firstRowLastColumn="0" w:lastRowFirstColumn="0" w:lastRowLastColumn="0"/>
            </w:pPr>
            <w:r w:rsidRPr="00B00AEC">
              <w:t xml:space="preserve"> $</w:t>
            </w:r>
            <w:r w:rsidR="00B00AEC" w:rsidRPr="00B00AEC">
              <w:t>2,453</w:t>
            </w:r>
          </w:p>
        </w:tc>
      </w:tr>
    </w:tbl>
    <w:p w14:paraId="4C2B827A" w14:textId="424AF980" w:rsidR="00B27392" w:rsidRDefault="00B27392" w:rsidP="00B27392">
      <w:pPr>
        <w:rPr>
          <w:rFonts w:cs="Arial"/>
          <w:szCs w:val="22"/>
        </w:rPr>
      </w:pPr>
      <w:r w:rsidRPr="00AF4675">
        <w:rPr>
          <w:szCs w:val="22"/>
        </w:rPr>
        <w:t>*</w:t>
      </w:r>
      <w:r w:rsidRPr="0025426C">
        <w:rPr>
          <w:rFonts w:cs="Arial"/>
          <w:sz w:val="20"/>
          <w:szCs w:val="20"/>
        </w:rPr>
        <w:t>The actual ratios for the period are annualised to be comparable to the annual budget ratios.</w:t>
      </w:r>
    </w:p>
    <w:p w14:paraId="53E264F1" w14:textId="3DF294CF" w:rsidR="00D472E8" w:rsidRPr="00F23024" w:rsidRDefault="00D472E8" w:rsidP="00D472E8">
      <w:pPr>
        <w:rPr>
          <w:rFonts w:cs="Arial"/>
          <w:szCs w:val="22"/>
          <w:vertAlign w:val="superscript"/>
        </w:rPr>
      </w:pPr>
      <w:r w:rsidRPr="00F23024">
        <w:rPr>
          <w:rFonts w:cs="Arial"/>
          <w:szCs w:val="22"/>
          <w:vertAlign w:val="superscript"/>
        </w:rPr>
        <w:t>#</w:t>
      </w:r>
      <w:r w:rsidRPr="0025426C">
        <w:rPr>
          <w:rFonts w:cs="Arial"/>
          <w:sz w:val="20"/>
          <w:szCs w:val="20"/>
        </w:rPr>
        <w:t>Approved annual budget 202</w:t>
      </w:r>
      <w:r w:rsidR="0025426C" w:rsidRPr="0025426C">
        <w:rPr>
          <w:rFonts w:cs="Arial"/>
          <w:sz w:val="20"/>
          <w:szCs w:val="20"/>
        </w:rPr>
        <w:t>2</w:t>
      </w:r>
      <w:r w:rsidRPr="0025426C">
        <w:rPr>
          <w:rFonts w:cs="Arial"/>
          <w:sz w:val="20"/>
          <w:szCs w:val="20"/>
        </w:rPr>
        <w:t>-2</w:t>
      </w:r>
      <w:r w:rsidR="0025426C" w:rsidRPr="0025426C">
        <w:rPr>
          <w:rFonts w:cs="Arial"/>
          <w:sz w:val="20"/>
          <w:szCs w:val="20"/>
        </w:rPr>
        <w:t>3</w:t>
      </w:r>
      <w:r w:rsidRPr="0025426C">
        <w:rPr>
          <w:rFonts w:cs="Arial"/>
          <w:sz w:val="20"/>
          <w:szCs w:val="20"/>
        </w:rPr>
        <w:t>.</w:t>
      </w:r>
    </w:p>
    <w:p w14:paraId="11F0FB63" w14:textId="77777777" w:rsidR="005137BD" w:rsidRDefault="005137BD" w:rsidP="00386B12">
      <w:pPr>
        <w:jc w:val="both"/>
        <w:rPr>
          <w:rFonts w:cs="Arial"/>
          <w:szCs w:val="22"/>
        </w:rPr>
      </w:pPr>
    </w:p>
    <w:p w14:paraId="1482FE30" w14:textId="417B2778" w:rsidR="00386B12" w:rsidRPr="00AF4675" w:rsidRDefault="004D677A" w:rsidP="00057008">
      <w:pPr>
        <w:jc w:val="both"/>
        <w:rPr>
          <w:rFonts w:cs="Arial"/>
        </w:rPr>
      </w:pPr>
      <w:r w:rsidRPr="004D677A">
        <w:rPr>
          <w:rFonts w:cs="Arial"/>
        </w:rPr>
        <w:t xml:space="preserve">The above ratios exclude the impact of </w:t>
      </w:r>
      <w:r>
        <w:rPr>
          <w:rFonts w:cs="Arial"/>
        </w:rPr>
        <w:t>s</w:t>
      </w:r>
      <w:r w:rsidRPr="004D677A">
        <w:rPr>
          <w:rFonts w:cs="Arial"/>
        </w:rPr>
        <w:t xml:space="preserve">ervice </w:t>
      </w:r>
      <w:r>
        <w:rPr>
          <w:rFonts w:cs="Arial"/>
        </w:rPr>
        <w:t>c</w:t>
      </w:r>
      <w:r w:rsidRPr="004D677A">
        <w:rPr>
          <w:rFonts w:cs="Arial"/>
        </w:rPr>
        <w:t xml:space="preserve">oncession </w:t>
      </w:r>
      <w:r>
        <w:rPr>
          <w:rFonts w:cs="Arial"/>
        </w:rPr>
        <w:t>a</w:t>
      </w:r>
      <w:r w:rsidRPr="004D677A">
        <w:rPr>
          <w:rFonts w:cs="Arial"/>
        </w:rPr>
        <w:t>rrangements.</w:t>
      </w:r>
      <w:r>
        <w:rPr>
          <w:rFonts w:cs="Arial"/>
        </w:rPr>
        <w:t xml:space="preserve"> </w:t>
      </w:r>
      <w:r w:rsidR="00386B12" w:rsidRPr="7CB1E6BA">
        <w:rPr>
          <w:rFonts w:cs="Arial"/>
        </w:rPr>
        <w:t xml:space="preserve">Council's budget ratios result </w:t>
      </w:r>
      <w:r w:rsidR="385DE5BC" w:rsidRPr="394A8572">
        <w:rPr>
          <w:rFonts w:cs="Arial"/>
        </w:rPr>
        <w:t>from Council’s</w:t>
      </w:r>
      <w:r w:rsidR="00386B12" w:rsidRPr="7CB1E6BA">
        <w:rPr>
          <w:rFonts w:cs="Arial"/>
        </w:rPr>
        <w:t xml:space="preserve"> </w:t>
      </w:r>
      <w:r w:rsidR="385DE5BC" w:rsidRPr="50F865EA">
        <w:rPr>
          <w:rFonts w:cs="Arial"/>
        </w:rPr>
        <w:t xml:space="preserve">anticipated </w:t>
      </w:r>
      <w:r w:rsidR="385DE5BC" w:rsidRPr="3619D51C">
        <w:rPr>
          <w:rFonts w:cs="Arial"/>
        </w:rPr>
        <w:t>operational</w:t>
      </w:r>
      <w:r w:rsidR="00386B12" w:rsidRPr="7CB1E6BA">
        <w:rPr>
          <w:rFonts w:cs="Arial"/>
        </w:rPr>
        <w:t xml:space="preserve"> and capital </w:t>
      </w:r>
      <w:r w:rsidR="385DE5BC" w:rsidRPr="3619D51C">
        <w:rPr>
          <w:rFonts w:cs="Arial"/>
        </w:rPr>
        <w:t xml:space="preserve">activities </w:t>
      </w:r>
      <w:r w:rsidR="00386B12" w:rsidRPr="3619D51C">
        <w:rPr>
          <w:rFonts w:cs="Arial"/>
        </w:rPr>
        <w:t xml:space="preserve">to </w:t>
      </w:r>
      <w:r w:rsidR="00386B12" w:rsidRPr="40692A72">
        <w:rPr>
          <w:rFonts w:cs="Arial"/>
        </w:rPr>
        <w:t>implement</w:t>
      </w:r>
      <w:r w:rsidR="00386B12" w:rsidRPr="7CB1E6BA">
        <w:rPr>
          <w:rFonts w:cs="Arial"/>
        </w:rPr>
        <w:t xml:space="preserve"> the </w:t>
      </w:r>
      <w:r w:rsidR="00386B12" w:rsidRPr="6C37AF57">
        <w:rPr>
          <w:rFonts w:cs="Arial"/>
        </w:rPr>
        <w:t>Annual Plan</w:t>
      </w:r>
      <w:r w:rsidR="00386B12" w:rsidRPr="7CB1E6BA">
        <w:rPr>
          <w:rFonts w:cs="Arial"/>
        </w:rPr>
        <w:t>.</w:t>
      </w:r>
      <w:r>
        <w:rPr>
          <w:rFonts w:cs="Arial"/>
        </w:rPr>
        <w:t xml:space="preserve"> </w:t>
      </w:r>
    </w:p>
    <w:p w14:paraId="005E412C" w14:textId="77777777" w:rsidR="00386B12" w:rsidRPr="00AF4675" w:rsidRDefault="00386B12" w:rsidP="00057008">
      <w:pPr>
        <w:jc w:val="both"/>
        <w:rPr>
          <w:rFonts w:cs="Arial"/>
          <w:szCs w:val="22"/>
        </w:rPr>
      </w:pPr>
    </w:p>
    <w:p w14:paraId="283D9CB8" w14:textId="2ED12EC3" w:rsidR="00A006F6" w:rsidRPr="004D677A" w:rsidRDefault="00D579DF" w:rsidP="00057008">
      <w:pPr>
        <w:jc w:val="both"/>
        <w:rPr>
          <w:rFonts w:cs="Arial"/>
        </w:rPr>
      </w:pPr>
      <w:r w:rsidRPr="004D677A">
        <w:rPr>
          <w:rFonts w:cs="Arial"/>
        </w:rPr>
        <w:t>The o</w:t>
      </w:r>
      <w:r w:rsidR="00A006F6" w:rsidRPr="004D677A">
        <w:rPr>
          <w:rFonts w:cs="Arial"/>
        </w:rPr>
        <w:t xml:space="preserve">perating surplus ratio is </w:t>
      </w:r>
      <w:r w:rsidR="009E746E" w:rsidRPr="004D677A">
        <w:rPr>
          <w:rFonts w:cs="Arial"/>
        </w:rPr>
        <w:t>above</w:t>
      </w:r>
      <w:r w:rsidR="008B3340" w:rsidRPr="004D677A">
        <w:rPr>
          <w:rFonts w:cs="Arial"/>
        </w:rPr>
        <w:t xml:space="preserve"> budget </w:t>
      </w:r>
      <w:r w:rsidR="00EB64C8" w:rsidRPr="004D677A">
        <w:rPr>
          <w:rFonts w:cs="Arial"/>
        </w:rPr>
        <w:t xml:space="preserve">mainly </w:t>
      </w:r>
      <w:r w:rsidR="008B3340" w:rsidRPr="004D677A">
        <w:rPr>
          <w:rFonts w:cs="Arial"/>
        </w:rPr>
        <w:t>due to</w:t>
      </w:r>
      <w:r w:rsidR="00A006F6" w:rsidRPr="004D677A">
        <w:rPr>
          <w:rFonts w:cs="Arial"/>
        </w:rPr>
        <w:t xml:space="preserve"> </w:t>
      </w:r>
      <w:r w:rsidR="004D677A" w:rsidRPr="004D677A">
        <w:rPr>
          <w:rFonts w:cs="Arial"/>
        </w:rPr>
        <w:t>the higher operating revenue compared to operating expenses for the period.</w:t>
      </w:r>
    </w:p>
    <w:p w14:paraId="0B868679" w14:textId="3CB8C0B7" w:rsidR="7FD6B813" w:rsidRPr="004D677A" w:rsidRDefault="7FD6B813" w:rsidP="00057008">
      <w:pPr>
        <w:jc w:val="both"/>
        <w:rPr>
          <w:rFonts w:eastAsia="Calibri" w:cs="Arial"/>
          <w:i/>
          <w:iCs/>
          <w:szCs w:val="22"/>
        </w:rPr>
      </w:pPr>
    </w:p>
    <w:p w14:paraId="457B417F" w14:textId="21F127DB" w:rsidR="00386B12" w:rsidRPr="00AF4675" w:rsidRDefault="00386B12" w:rsidP="00386B12">
      <w:pPr>
        <w:rPr>
          <w:rFonts w:cs="Arial"/>
          <w:szCs w:val="22"/>
        </w:rPr>
      </w:pPr>
    </w:p>
    <w:p w14:paraId="1B2D1CD1" w14:textId="77777777" w:rsidR="000B5E4C" w:rsidRDefault="000B5E4C">
      <w:pPr>
        <w:rPr>
          <w:rFonts w:eastAsia="Times New Roman" w:cstheme="majorBidi"/>
          <w:b/>
          <w:noProof/>
          <w:snapToGrid w:val="0"/>
          <w:color w:val="0067B1"/>
          <w:sz w:val="28"/>
          <w:szCs w:val="32"/>
          <w:lang w:val="en-AU"/>
        </w:rPr>
      </w:pPr>
      <w:bookmarkStart w:id="8" w:name="_Toc111126246"/>
      <w:r>
        <w:rPr>
          <w:noProof/>
        </w:rPr>
        <w:br w:type="page"/>
      </w:r>
    </w:p>
    <w:p w14:paraId="7DE15AD7" w14:textId="3B81FA74" w:rsidR="0073389D" w:rsidRPr="00B24360" w:rsidRDefault="0073389D" w:rsidP="0057257F">
      <w:pPr>
        <w:pStyle w:val="Heading3"/>
        <w:rPr>
          <w:noProof/>
        </w:rPr>
      </w:pPr>
      <w:bookmarkStart w:id="9" w:name="_Toc127436749"/>
      <w:r w:rsidRPr="00B24360">
        <w:rPr>
          <w:noProof/>
        </w:rPr>
        <w:lastRenderedPageBreak/>
        <w:t>Statement of comprehensive income</w:t>
      </w:r>
      <w:bookmarkEnd w:id="8"/>
      <w:bookmarkEnd w:id="9"/>
    </w:p>
    <w:p w14:paraId="7928DFFB" w14:textId="5D7B8D44" w:rsidR="00386B12" w:rsidRDefault="00386B12" w:rsidP="00386B12">
      <w:pPr>
        <w:rPr>
          <w:noProof/>
        </w:rPr>
      </w:pPr>
    </w:p>
    <w:tbl>
      <w:tblPr>
        <w:tblStyle w:val="ListTable3"/>
        <w:tblW w:w="9781" w:type="dxa"/>
        <w:tblLayout w:type="fixed"/>
        <w:tblLook w:val="04A0" w:firstRow="1" w:lastRow="0" w:firstColumn="1" w:lastColumn="0" w:noHBand="0" w:noVBand="1"/>
        <w:tblCaption w:val="Statement of Comprehensive Income"/>
        <w:tblDescription w:val="For the Period Ended September twenty twenty two.&#10;Year to date, the following amounts are rounded to the nearest thousand. &#10;Approved annual budget 2022 - 23 the following amounts are rounded to the nearest thousand. &#10;Year to date actual September 2021 the following amounts are rounded to the nearest thousand.&#10;Revenue, &#10;Rates and utility charges, (337,591) (1,363,739), (320,833).&#10;Less discounts rebates, (11,601), (44,752), (11,995).&#10;Total, (325,990), (1,318,987), (308,838).&#10;Grants and Subsidies, (25,996), (453,943), (20,797).&#10;Developer contributions, (28,232), (280,739), (28,088).&#10;Other contributions and donations, (1,592), (10,299), (28,088).&#10;Fees and Charges, (52,609), (240,190), (48,820).&#10;Public Transport revenue, (90,833), (372,964), 90,903).&#10;Interest Revenue, (4,624) (4,099), (852).&#10;Other Revenue, (100,263), (460,888), (106,514).&#10;Total revenue excluding rates and utility charges (304,149), (1,823,122), (295,940).&#10;Total revenue (630,139), (3,142,109), (604,778).&#10;Expenses&#10;Employee Costs, (185,043), (827,686), (172,811).&#10;Materials and services, (220,891), (1,051,181).&#10;Deprecation and amortisation, (131,463), (555,614), (136,456).&#10;Finance Costs, (23,500), (102,032), (21,439).&#10;Loss on Disposal of Property, Plant and Equipment and Intangibles, (6,340), (57,700), (2,667).&#10;Capital Grant Expenses, (Nil), (15,627), (Nil).&#10;Other Expenses, (15,684), (51,318), (13,828).&#10;total expenses, (582,921), (2,661,158), (538,829).&#10;Increase in operating capability, (47,218), (480,951), (65,949).&#10;&#10;Other comprehensive income&#10;Items that will not be reclassified to operating capability&#10;Increase and Decrease in asset revaluation surplus, (decrease of 4,830), (466,129), (decrease of 1,501).&#10;Movements in cash flow and cost of hedging reserves, (decrease of 900), (8,159), (1,442).&#10;total other comprehensive income, (decrease of 5,730), (474,288), (decrease of 59).&#10;Total comprehensive income, (41,489), (955,239), (65,890)&#10;Transfer of Brisbane Metro Assets to Queensland Government."/>
      </w:tblPr>
      <w:tblGrid>
        <w:gridCol w:w="5210"/>
        <w:gridCol w:w="1378"/>
        <w:gridCol w:w="1838"/>
        <w:gridCol w:w="1355"/>
      </w:tblGrid>
      <w:tr w:rsidR="009C6EA8" w:rsidRPr="009C6EA8" w14:paraId="21A0D2B2" w14:textId="77777777" w:rsidTr="00B11734">
        <w:trPr>
          <w:cnfStyle w:val="100000000000" w:firstRow="1" w:lastRow="0" w:firstColumn="0" w:lastColumn="0" w:oddVBand="0" w:evenVBand="0" w:oddHBand="0" w:evenHBand="0" w:firstRowFirstColumn="0" w:firstRowLastColumn="0" w:lastRowFirstColumn="0" w:lastRowLastColumn="0"/>
          <w:trHeight w:val="828"/>
        </w:trPr>
        <w:tc>
          <w:tcPr>
            <w:cnfStyle w:val="001000000100" w:firstRow="0" w:lastRow="0" w:firstColumn="1" w:lastColumn="0" w:oddVBand="0" w:evenVBand="0" w:oddHBand="0" w:evenHBand="0" w:firstRowFirstColumn="1" w:firstRowLastColumn="0" w:lastRowFirstColumn="0" w:lastRowLastColumn="0"/>
            <w:tcW w:w="5210" w:type="dxa"/>
            <w:hideMark/>
          </w:tcPr>
          <w:p w14:paraId="144C7C43" w14:textId="6F98D5F9" w:rsidR="009C6EA8" w:rsidRPr="003F2CE4" w:rsidRDefault="009C6EA8" w:rsidP="009C6EA8">
            <w:pPr>
              <w:rPr>
                <w:rFonts w:eastAsia="Times New Roman" w:cs="Arial"/>
                <w:b w:val="0"/>
                <w:bCs w:val="0"/>
                <w:szCs w:val="22"/>
                <w:lang w:val="en-AU" w:eastAsia="en-AU"/>
              </w:rPr>
            </w:pPr>
            <w:r w:rsidRPr="003F2CE4">
              <w:rPr>
                <w:rFonts w:eastAsia="Times New Roman" w:cs="Arial"/>
                <w:szCs w:val="22"/>
                <w:lang w:val="en-AU" w:eastAsia="en-AU"/>
              </w:rPr>
              <w:t>For the period ended</w:t>
            </w:r>
            <w:r w:rsidRPr="003F2CE4">
              <w:rPr>
                <w:rFonts w:eastAsia="Times New Roman" w:cs="Arial"/>
                <w:szCs w:val="22"/>
                <w:lang w:val="en-AU" w:eastAsia="en-AU"/>
              </w:rPr>
              <w:br/>
            </w:r>
            <w:r w:rsidR="00EA7DAA" w:rsidRPr="003F2CE4">
              <w:rPr>
                <w:rFonts w:eastAsia="Times New Roman" w:cs="Arial"/>
                <w:szCs w:val="22"/>
                <w:lang w:val="en-AU" w:eastAsia="en-AU"/>
              </w:rPr>
              <w:t>September</w:t>
            </w:r>
            <w:r w:rsidRPr="003F2CE4">
              <w:rPr>
                <w:rFonts w:eastAsia="Times New Roman" w:cs="Arial"/>
                <w:szCs w:val="22"/>
                <w:lang w:val="en-AU" w:eastAsia="en-AU"/>
              </w:rPr>
              <w:t xml:space="preserve"> 2022</w:t>
            </w:r>
          </w:p>
        </w:tc>
        <w:tc>
          <w:tcPr>
            <w:tcW w:w="1378" w:type="dxa"/>
            <w:hideMark/>
          </w:tcPr>
          <w:p w14:paraId="5547D4E7" w14:textId="77777777" w:rsidR="009C6EA8" w:rsidRPr="003F2CE4" w:rsidRDefault="009C6EA8" w:rsidP="009C6EA8">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 xml:space="preserve">YTD actual </w:t>
            </w:r>
          </w:p>
        </w:tc>
        <w:tc>
          <w:tcPr>
            <w:tcW w:w="1838" w:type="dxa"/>
            <w:hideMark/>
          </w:tcPr>
          <w:p w14:paraId="3FBF9575" w14:textId="77777777" w:rsidR="009C6EA8" w:rsidRPr="003F2CE4" w:rsidRDefault="009C6EA8" w:rsidP="009C6EA8">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 xml:space="preserve">Approved annual budget </w:t>
            </w:r>
            <w:r w:rsidRPr="003F2CE4">
              <w:rPr>
                <w:rFonts w:eastAsia="Times New Roman" w:cs="Arial"/>
                <w:szCs w:val="22"/>
                <w:lang w:val="en-AU" w:eastAsia="en-AU"/>
              </w:rPr>
              <w:br/>
              <w:t>2022-23</w:t>
            </w:r>
          </w:p>
        </w:tc>
        <w:tc>
          <w:tcPr>
            <w:tcW w:w="1355" w:type="dxa"/>
            <w:hideMark/>
          </w:tcPr>
          <w:p w14:paraId="33D586CA" w14:textId="54E64E37" w:rsidR="009C6EA8" w:rsidRPr="003F2CE4" w:rsidRDefault="009C6EA8" w:rsidP="009C6EA8">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 xml:space="preserve">YTD actual </w:t>
            </w:r>
            <w:r w:rsidR="00EA7DAA" w:rsidRPr="003F2CE4">
              <w:rPr>
                <w:rFonts w:eastAsia="Times New Roman" w:cs="Arial"/>
                <w:szCs w:val="22"/>
                <w:lang w:val="en-AU" w:eastAsia="en-AU"/>
              </w:rPr>
              <w:t>September</w:t>
            </w:r>
            <w:r w:rsidRPr="003F2CE4">
              <w:rPr>
                <w:rFonts w:eastAsia="Times New Roman" w:cs="Arial"/>
                <w:szCs w:val="22"/>
                <w:lang w:val="en-AU" w:eastAsia="en-AU"/>
              </w:rPr>
              <w:t xml:space="preserve"> 2021</w:t>
            </w:r>
          </w:p>
        </w:tc>
      </w:tr>
      <w:tr w:rsidR="009C6EA8" w:rsidRPr="009C6EA8" w14:paraId="30D6E2F2" w14:textId="77777777" w:rsidTr="00B1173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210" w:type="dxa"/>
            <w:hideMark/>
          </w:tcPr>
          <w:p w14:paraId="31BFABF0" w14:textId="77777777" w:rsidR="009C6EA8" w:rsidRPr="009C6EA8" w:rsidRDefault="009C6EA8" w:rsidP="009C6EA8">
            <w:pPr>
              <w:rPr>
                <w:rFonts w:eastAsia="Times New Roman" w:cs="Arial"/>
                <w:b w:val="0"/>
                <w:bCs w:val="0"/>
                <w:szCs w:val="22"/>
                <w:lang w:val="en-AU" w:eastAsia="en-AU"/>
              </w:rPr>
            </w:pPr>
            <w:r w:rsidRPr="009C6EA8">
              <w:rPr>
                <w:rFonts w:eastAsia="Times New Roman" w:cs="Arial"/>
                <w:szCs w:val="22"/>
                <w:lang w:val="en-AU" w:eastAsia="en-AU"/>
              </w:rPr>
              <w:t> </w:t>
            </w:r>
          </w:p>
        </w:tc>
        <w:tc>
          <w:tcPr>
            <w:tcW w:w="1378" w:type="dxa"/>
            <w:noWrap/>
            <w:hideMark/>
          </w:tcPr>
          <w:p w14:paraId="2133F5A6" w14:textId="77777777" w:rsidR="009C6EA8" w:rsidRPr="009C6EA8" w:rsidRDefault="009C6EA8"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9C6EA8">
              <w:rPr>
                <w:rFonts w:eastAsia="Times New Roman" w:cs="Arial"/>
                <w:b/>
                <w:bCs/>
                <w:szCs w:val="22"/>
                <w:lang w:val="en-AU" w:eastAsia="en-AU"/>
              </w:rPr>
              <w:t>$000</w:t>
            </w:r>
          </w:p>
        </w:tc>
        <w:tc>
          <w:tcPr>
            <w:tcW w:w="1838" w:type="dxa"/>
            <w:noWrap/>
            <w:hideMark/>
          </w:tcPr>
          <w:p w14:paraId="6163A483" w14:textId="77777777" w:rsidR="009C6EA8" w:rsidRPr="009C6EA8" w:rsidRDefault="009C6EA8"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9C6EA8">
              <w:rPr>
                <w:rFonts w:eastAsia="Times New Roman" w:cs="Arial"/>
                <w:b/>
                <w:bCs/>
                <w:szCs w:val="22"/>
                <w:lang w:val="en-AU" w:eastAsia="en-AU"/>
              </w:rPr>
              <w:t>$000</w:t>
            </w:r>
          </w:p>
        </w:tc>
        <w:tc>
          <w:tcPr>
            <w:tcW w:w="1355" w:type="dxa"/>
            <w:noWrap/>
            <w:hideMark/>
          </w:tcPr>
          <w:p w14:paraId="46AB332B" w14:textId="77777777" w:rsidR="009C6EA8" w:rsidRPr="009C6EA8" w:rsidRDefault="009C6EA8"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9C6EA8">
              <w:rPr>
                <w:rFonts w:eastAsia="Times New Roman" w:cs="Arial"/>
                <w:b/>
                <w:bCs/>
                <w:szCs w:val="22"/>
                <w:lang w:val="en-AU" w:eastAsia="en-AU"/>
              </w:rPr>
              <w:t>$000</w:t>
            </w:r>
          </w:p>
        </w:tc>
      </w:tr>
      <w:tr w:rsidR="009C6EA8" w:rsidRPr="009C6EA8" w14:paraId="10E0F3BE" w14:textId="77777777" w:rsidTr="00B11734">
        <w:trPr>
          <w:trHeight w:val="311"/>
        </w:trPr>
        <w:tc>
          <w:tcPr>
            <w:cnfStyle w:val="001000000000" w:firstRow="0" w:lastRow="0" w:firstColumn="1" w:lastColumn="0" w:oddVBand="0" w:evenVBand="0" w:oddHBand="0" w:evenHBand="0" w:firstRowFirstColumn="0" w:firstRowLastColumn="0" w:lastRowFirstColumn="0" w:lastRowLastColumn="0"/>
            <w:tcW w:w="5210" w:type="dxa"/>
            <w:noWrap/>
            <w:hideMark/>
          </w:tcPr>
          <w:p w14:paraId="3ECD2E16" w14:textId="77777777" w:rsidR="009C6EA8" w:rsidRPr="009C6EA8" w:rsidRDefault="009C6EA8" w:rsidP="009C6EA8">
            <w:pPr>
              <w:jc w:val="right"/>
              <w:rPr>
                <w:rFonts w:eastAsia="Times New Roman" w:cs="Arial"/>
                <w:b w:val="0"/>
                <w:bCs w:val="0"/>
                <w:szCs w:val="22"/>
                <w:lang w:val="en-AU" w:eastAsia="en-AU"/>
              </w:rPr>
            </w:pPr>
          </w:p>
        </w:tc>
        <w:tc>
          <w:tcPr>
            <w:tcW w:w="1378" w:type="dxa"/>
            <w:noWrap/>
            <w:hideMark/>
          </w:tcPr>
          <w:p w14:paraId="606DE977" w14:textId="77777777" w:rsidR="009C6EA8" w:rsidRPr="009C6EA8" w:rsidRDefault="009C6EA8" w:rsidP="009C6E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838" w:type="dxa"/>
            <w:noWrap/>
            <w:hideMark/>
          </w:tcPr>
          <w:p w14:paraId="73A27483" w14:textId="77777777" w:rsidR="009C6EA8" w:rsidRPr="009C6EA8" w:rsidRDefault="009C6EA8" w:rsidP="009C6E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355" w:type="dxa"/>
            <w:noWrap/>
            <w:hideMark/>
          </w:tcPr>
          <w:p w14:paraId="3A5CB037" w14:textId="77777777" w:rsidR="009C6EA8" w:rsidRPr="009C6EA8" w:rsidRDefault="009C6EA8" w:rsidP="009C6E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9C6EA8" w:rsidRPr="009C6EA8" w14:paraId="171C5F7F"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20F3779F" w14:textId="77777777" w:rsidR="009C6EA8" w:rsidRPr="009C6EA8" w:rsidRDefault="009C6EA8" w:rsidP="009C6EA8">
            <w:pPr>
              <w:rPr>
                <w:rFonts w:eastAsia="Times New Roman" w:cs="Arial"/>
                <w:b w:val="0"/>
                <w:bCs w:val="0"/>
                <w:color w:val="000000"/>
                <w:szCs w:val="22"/>
                <w:lang w:val="en-AU" w:eastAsia="en-AU"/>
              </w:rPr>
            </w:pPr>
            <w:r w:rsidRPr="009C6EA8">
              <w:rPr>
                <w:rFonts w:eastAsia="Times New Roman" w:cs="Arial"/>
                <w:color w:val="000000"/>
                <w:szCs w:val="22"/>
                <w:lang w:val="en-AU" w:eastAsia="en-AU"/>
              </w:rPr>
              <w:t>Revenue</w:t>
            </w:r>
          </w:p>
        </w:tc>
        <w:tc>
          <w:tcPr>
            <w:tcW w:w="1378" w:type="dxa"/>
            <w:noWrap/>
            <w:hideMark/>
          </w:tcPr>
          <w:p w14:paraId="3740E00F"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val="en-AU" w:eastAsia="en-AU"/>
              </w:rPr>
            </w:pPr>
          </w:p>
        </w:tc>
        <w:tc>
          <w:tcPr>
            <w:tcW w:w="1838" w:type="dxa"/>
            <w:noWrap/>
            <w:hideMark/>
          </w:tcPr>
          <w:p w14:paraId="4EE07C5C" w14:textId="77777777" w:rsidR="009C6EA8" w:rsidRPr="009C6EA8" w:rsidRDefault="009C6EA8" w:rsidP="009C6E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355" w:type="dxa"/>
            <w:noWrap/>
            <w:hideMark/>
          </w:tcPr>
          <w:p w14:paraId="150FB841" w14:textId="77777777" w:rsidR="009C6EA8" w:rsidRPr="009C6EA8" w:rsidRDefault="009C6EA8" w:rsidP="009C6E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9C6EA8" w:rsidRPr="009C6EA8" w14:paraId="1C4AA853"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3688425C"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Rates and utility charges</w:t>
            </w:r>
          </w:p>
        </w:tc>
        <w:tc>
          <w:tcPr>
            <w:tcW w:w="1378" w:type="dxa"/>
            <w:noWrap/>
          </w:tcPr>
          <w:p w14:paraId="2466983E" w14:textId="2E3D95DA" w:rsidR="009C6EA8" w:rsidRPr="009C6EA8" w:rsidRDefault="005B5F43"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337</w:t>
            </w:r>
            <w:r w:rsidR="0076737D">
              <w:rPr>
                <w:rFonts w:eastAsia="Times New Roman" w:cs="Arial"/>
                <w:szCs w:val="22"/>
                <w:lang w:val="en-AU" w:eastAsia="en-AU"/>
              </w:rPr>
              <w:t>,591</w:t>
            </w:r>
          </w:p>
        </w:tc>
        <w:tc>
          <w:tcPr>
            <w:tcW w:w="1838" w:type="dxa"/>
            <w:noWrap/>
          </w:tcPr>
          <w:p w14:paraId="0EEB4DAE" w14:textId="3AF4547C" w:rsidR="009C6EA8" w:rsidRPr="009C6EA8" w:rsidRDefault="003C0348"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1,363,739</w:t>
            </w:r>
          </w:p>
        </w:tc>
        <w:tc>
          <w:tcPr>
            <w:tcW w:w="1355" w:type="dxa"/>
            <w:noWrap/>
          </w:tcPr>
          <w:p w14:paraId="740FC6CD" w14:textId="20446738" w:rsidR="009C6EA8" w:rsidRPr="009C6EA8" w:rsidRDefault="00661670"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320,833</w:t>
            </w:r>
          </w:p>
        </w:tc>
      </w:tr>
      <w:tr w:rsidR="009C6EA8" w:rsidRPr="009C6EA8" w14:paraId="56DFE679"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772849BF"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Less discounts and rebates</w:t>
            </w:r>
          </w:p>
        </w:tc>
        <w:tc>
          <w:tcPr>
            <w:tcW w:w="1378" w:type="dxa"/>
            <w:noWrap/>
          </w:tcPr>
          <w:p w14:paraId="5FA21D2B" w14:textId="782C0118" w:rsidR="009C6EA8" w:rsidRPr="009C6EA8" w:rsidRDefault="0076737D"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(11,601)</w:t>
            </w:r>
          </w:p>
        </w:tc>
        <w:tc>
          <w:tcPr>
            <w:tcW w:w="1838" w:type="dxa"/>
            <w:noWrap/>
          </w:tcPr>
          <w:p w14:paraId="6945F354" w14:textId="088F2350" w:rsidR="009C6EA8" w:rsidRPr="009C6EA8" w:rsidRDefault="003C0348"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(44,752)</w:t>
            </w:r>
          </w:p>
        </w:tc>
        <w:tc>
          <w:tcPr>
            <w:tcW w:w="1355" w:type="dxa"/>
            <w:noWrap/>
          </w:tcPr>
          <w:p w14:paraId="3B94CF42" w14:textId="6348F02F" w:rsidR="009C6EA8" w:rsidRPr="009C6EA8" w:rsidRDefault="00661670"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(11,995)</w:t>
            </w:r>
          </w:p>
        </w:tc>
      </w:tr>
      <w:tr w:rsidR="009C6EA8" w:rsidRPr="009C6EA8" w14:paraId="7775517A"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6699A571" w14:textId="77777777" w:rsidR="009C6EA8" w:rsidRPr="009C6EA8" w:rsidRDefault="009C6EA8" w:rsidP="009C6EA8">
            <w:pPr>
              <w:jc w:val="right"/>
              <w:rPr>
                <w:rFonts w:eastAsia="Times New Roman" w:cs="Arial"/>
                <w:szCs w:val="22"/>
                <w:lang w:val="en-AU" w:eastAsia="en-AU"/>
              </w:rPr>
            </w:pPr>
          </w:p>
        </w:tc>
        <w:tc>
          <w:tcPr>
            <w:tcW w:w="1378" w:type="dxa"/>
            <w:noWrap/>
          </w:tcPr>
          <w:p w14:paraId="2F6CD910" w14:textId="1236EC5A" w:rsidR="009C6EA8" w:rsidRPr="00FB6B0A" w:rsidRDefault="00F9597A"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325,990</w:t>
            </w:r>
          </w:p>
        </w:tc>
        <w:tc>
          <w:tcPr>
            <w:tcW w:w="1838" w:type="dxa"/>
            <w:noWrap/>
          </w:tcPr>
          <w:p w14:paraId="7DCFFBB2" w14:textId="39B567A5" w:rsidR="009C6EA8" w:rsidRPr="00FB6B0A" w:rsidRDefault="003C0348"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1,318,987</w:t>
            </w:r>
          </w:p>
        </w:tc>
        <w:tc>
          <w:tcPr>
            <w:tcW w:w="1355" w:type="dxa"/>
            <w:noWrap/>
          </w:tcPr>
          <w:p w14:paraId="2EF7E768" w14:textId="0C469DFE" w:rsidR="009C6EA8" w:rsidRPr="00FB6B0A" w:rsidRDefault="00661670"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308,838</w:t>
            </w:r>
          </w:p>
        </w:tc>
      </w:tr>
      <w:tr w:rsidR="009C6EA8" w:rsidRPr="009C6EA8" w14:paraId="19E97B70"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6AC3A736" w14:textId="77777777" w:rsidR="009C6EA8" w:rsidRPr="009C6EA8" w:rsidRDefault="009C6EA8" w:rsidP="009C6EA8">
            <w:pPr>
              <w:jc w:val="right"/>
              <w:rPr>
                <w:rFonts w:eastAsia="Times New Roman" w:cs="Arial"/>
                <w:szCs w:val="22"/>
                <w:lang w:val="en-AU" w:eastAsia="en-AU"/>
              </w:rPr>
            </w:pPr>
          </w:p>
        </w:tc>
        <w:tc>
          <w:tcPr>
            <w:tcW w:w="1378" w:type="dxa"/>
            <w:noWrap/>
          </w:tcPr>
          <w:p w14:paraId="6EF2A00D"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838" w:type="dxa"/>
            <w:noWrap/>
          </w:tcPr>
          <w:p w14:paraId="6CF2FFF7"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355" w:type="dxa"/>
            <w:noWrap/>
          </w:tcPr>
          <w:p w14:paraId="4152A0A4"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9C6EA8" w:rsidRPr="009C6EA8" w14:paraId="4849BB84"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2D313295"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Grants and subsidies</w:t>
            </w:r>
          </w:p>
        </w:tc>
        <w:tc>
          <w:tcPr>
            <w:tcW w:w="1378" w:type="dxa"/>
            <w:noWrap/>
          </w:tcPr>
          <w:p w14:paraId="536E4F20" w14:textId="742D6D84" w:rsidR="009C6EA8" w:rsidRPr="009C6EA8" w:rsidRDefault="0076737D"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25,996</w:t>
            </w:r>
          </w:p>
        </w:tc>
        <w:tc>
          <w:tcPr>
            <w:tcW w:w="1838" w:type="dxa"/>
            <w:noWrap/>
          </w:tcPr>
          <w:p w14:paraId="49DE6607" w14:textId="50F878FB" w:rsidR="009C6EA8" w:rsidRPr="009C6EA8" w:rsidRDefault="003C0348"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453,943</w:t>
            </w:r>
          </w:p>
        </w:tc>
        <w:tc>
          <w:tcPr>
            <w:tcW w:w="1355" w:type="dxa"/>
            <w:noWrap/>
          </w:tcPr>
          <w:p w14:paraId="73FCE77E" w14:textId="218A3BF9" w:rsidR="009C6EA8" w:rsidRPr="009C6EA8" w:rsidRDefault="00661670"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20,797</w:t>
            </w:r>
          </w:p>
        </w:tc>
      </w:tr>
      <w:tr w:rsidR="009C6EA8" w:rsidRPr="009C6EA8" w14:paraId="705119FC"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4FABA2C6"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Developer contributions</w:t>
            </w:r>
          </w:p>
        </w:tc>
        <w:tc>
          <w:tcPr>
            <w:tcW w:w="1378" w:type="dxa"/>
            <w:noWrap/>
          </w:tcPr>
          <w:p w14:paraId="06906E62" w14:textId="1E276D1E" w:rsidR="009C6EA8" w:rsidRPr="009C6EA8" w:rsidRDefault="0076737D"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28,232</w:t>
            </w:r>
          </w:p>
        </w:tc>
        <w:tc>
          <w:tcPr>
            <w:tcW w:w="1838" w:type="dxa"/>
            <w:noWrap/>
          </w:tcPr>
          <w:p w14:paraId="6DE76104" w14:textId="7E7DA9C4" w:rsidR="009C6EA8" w:rsidRPr="009C6EA8" w:rsidRDefault="003C0348"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280,739</w:t>
            </w:r>
          </w:p>
        </w:tc>
        <w:tc>
          <w:tcPr>
            <w:tcW w:w="1355" w:type="dxa"/>
            <w:noWrap/>
          </w:tcPr>
          <w:p w14:paraId="6081D83A" w14:textId="605DA592" w:rsidR="009C6EA8" w:rsidRPr="009C6EA8" w:rsidRDefault="00661670"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28,088</w:t>
            </w:r>
          </w:p>
        </w:tc>
      </w:tr>
      <w:tr w:rsidR="009C6EA8" w:rsidRPr="009C6EA8" w14:paraId="09C44C32"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725ECE7B"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Other contributions and donations</w:t>
            </w:r>
          </w:p>
        </w:tc>
        <w:tc>
          <w:tcPr>
            <w:tcW w:w="1378" w:type="dxa"/>
            <w:noWrap/>
          </w:tcPr>
          <w:p w14:paraId="3A24414A" w14:textId="1B5F041E" w:rsidR="009C6EA8" w:rsidRPr="009C6EA8" w:rsidRDefault="0076737D"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1,592</w:t>
            </w:r>
          </w:p>
        </w:tc>
        <w:tc>
          <w:tcPr>
            <w:tcW w:w="1838" w:type="dxa"/>
            <w:noWrap/>
          </w:tcPr>
          <w:p w14:paraId="1BE9906C" w14:textId="57B86BCE" w:rsidR="009C6EA8" w:rsidRPr="009C6EA8" w:rsidRDefault="003C0348"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10,299</w:t>
            </w:r>
          </w:p>
        </w:tc>
        <w:tc>
          <w:tcPr>
            <w:tcW w:w="1355" w:type="dxa"/>
            <w:noWrap/>
          </w:tcPr>
          <w:p w14:paraId="6A563F39" w14:textId="14FD6F38" w:rsidR="009C6EA8" w:rsidRPr="009C6EA8" w:rsidRDefault="00661670"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(34)</w:t>
            </w:r>
          </w:p>
        </w:tc>
      </w:tr>
      <w:tr w:rsidR="009C6EA8" w:rsidRPr="009C6EA8" w14:paraId="428935D0"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4AABCF83"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Fees and charges</w:t>
            </w:r>
          </w:p>
        </w:tc>
        <w:tc>
          <w:tcPr>
            <w:tcW w:w="1378" w:type="dxa"/>
            <w:noWrap/>
          </w:tcPr>
          <w:p w14:paraId="3C44BB04" w14:textId="2F21C404" w:rsidR="009C6EA8" w:rsidRPr="009C6EA8" w:rsidRDefault="0076737D"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52,609</w:t>
            </w:r>
          </w:p>
        </w:tc>
        <w:tc>
          <w:tcPr>
            <w:tcW w:w="1838" w:type="dxa"/>
            <w:noWrap/>
          </w:tcPr>
          <w:p w14:paraId="33C76DE8" w14:textId="295C20E2" w:rsidR="009C6EA8" w:rsidRPr="009C6EA8" w:rsidRDefault="003C0348"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240,190</w:t>
            </w:r>
          </w:p>
        </w:tc>
        <w:tc>
          <w:tcPr>
            <w:tcW w:w="1355" w:type="dxa"/>
            <w:noWrap/>
          </w:tcPr>
          <w:p w14:paraId="04D034E0" w14:textId="5B722976" w:rsidR="009C6EA8" w:rsidRPr="009C6EA8" w:rsidRDefault="00661670"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48,820</w:t>
            </w:r>
          </w:p>
        </w:tc>
      </w:tr>
      <w:tr w:rsidR="009C6EA8" w:rsidRPr="009C6EA8" w14:paraId="3B9E15A4"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24E24E7F"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Public transport revenue</w:t>
            </w:r>
          </w:p>
        </w:tc>
        <w:tc>
          <w:tcPr>
            <w:tcW w:w="1378" w:type="dxa"/>
            <w:noWrap/>
          </w:tcPr>
          <w:p w14:paraId="18EA2120" w14:textId="05C894FB" w:rsidR="009C6EA8" w:rsidRPr="009C6EA8" w:rsidRDefault="0076737D"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90,833</w:t>
            </w:r>
          </w:p>
        </w:tc>
        <w:tc>
          <w:tcPr>
            <w:tcW w:w="1838" w:type="dxa"/>
            <w:noWrap/>
          </w:tcPr>
          <w:p w14:paraId="69058AEF" w14:textId="49F8C1FD" w:rsidR="009C6EA8" w:rsidRPr="009C6EA8" w:rsidRDefault="003C0348"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372,964</w:t>
            </w:r>
          </w:p>
        </w:tc>
        <w:tc>
          <w:tcPr>
            <w:tcW w:w="1355" w:type="dxa"/>
            <w:noWrap/>
          </w:tcPr>
          <w:p w14:paraId="14AFE983" w14:textId="0F63A276" w:rsidR="009C6EA8" w:rsidRPr="009C6EA8" w:rsidRDefault="00661670"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90,903</w:t>
            </w:r>
          </w:p>
        </w:tc>
      </w:tr>
      <w:tr w:rsidR="009C6EA8" w:rsidRPr="009C6EA8" w14:paraId="6DCF2050"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3AB10042"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Interest revenue</w:t>
            </w:r>
          </w:p>
        </w:tc>
        <w:tc>
          <w:tcPr>
            <w:tcW w:w="1378" w:type="dxa"/>
            <w:noWrap/>
          </w:tcPr>
          <w:p w14:paraId="3363A8FD" w14:textId="3E2CA6E8" w:rsidR="009C6EA8" w:rsidRPr="009C6EA8" w:rsidRDefault="00F9597A"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4,624</w:t>
            </w:r>
          </w:p>
        </w:tc>
        <w:tc>
          <w:tcPr>
            <w:tcW w:w="1838" w:type="dxa"/>
            <w:noWrap/>
          </w:tcPr>
          <w:p w14:paraId="1156B08E" w14:textId="7FE0BE2C" w:rsidR="009C6EA8" w:rsidRPr="009C6EA8" w:rsidRDefault="003C0348"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4,099</w:t>
            </w:r>
          </w:p>
        </w:tc>
        <w:tc>
          <w:tcPr>
            <w:tcW w:w="1355" w:type="dxa"/>
            <w:noWrap/>
          </w:tcPr>
          <w:p w14:paraId="45BFE55E" w14:textId="199F79DE" w:rsidR="009C6EA8" w:rsidRPr="009C6EA8" w:rsidRDefault="00661670"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852</w:t>
            </w:r>
          </w:p>
        </w:tc>
      </w:tr>
      <w:tr w:rsidR="009C6EA8" w:rsidRPr="009C6EA8" w14:paraId="43014146"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3E177CBF"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Other revenue</w:t>
            </w:r>
          </w:p>
        </w:tc>
        <w:tc>
          <w:tcPr>
            <w:tcW w:w="1378" w:type="dxa"/>
            <w:noWrap/>
          </w:tcPr>
          <w:p w14:paraId="26198394" w14:textId="04905D28" w:rsidR="009C6EA8" w:rsidRPr="009C6EA8" w:rsidRDefault="00F9597A"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100,263</w:t>
            </w:r>
          </w:p>
        </w:tc>
        <w:tc>
          <w:tcPr>
            <w:tcW w:w="1838" w:type="dxa"/>
            <w:noWrap/>
          </w:tcPr>
          <w:p w14:paraId="3BD99697" w14:textId="53F56DB9" w:rsidR="009C6EA8" w:rsidRPr="009C6EA8" w:rsidRDefault="003C0348"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460,888</w:t>
            </w:r>
          </w:p>
        </w:tc>
        <w:tc>
          <w:tcPr>
            <w:tcW w:w="1355" w:type="dxa"/>
            <w:noWrap/>
          </w:tcPr>
          <w:p w14:paraId="2572DFD2" w14:textId="7F880152" w:rsidR="009C6EA8" w:rsidRPr="009C6EA8" w:rsidRDefault="00661670"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106,514</w:t>
            </w:r>
          </w:p>
        </w:tc>
      </w:tr>
      <w:tr w:rsidR="009C6EA8" w:rsidRPr="009C6EA8" w14:paraId="2BB19E4C"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2231E6EF" w14:textId="77777777" w:rsidR="009C6EA8" w:rsidRPr="009C6EA8" w:rsidRDefault="009C6EA8" w:rsidP="009C6EA8">
            <w:pPr>
              <w:jc w:val="right"/>
              <w:rPr>
                <w:rFonts w:eastAsia="Times New Roman" w:cs="Arial"/>
                <w:szCs w:val="22"/>
                <w:lang w:val="en-AU" w:eastAsia="en-AU"/>
              </w:rPr>
            </w:pPr>
          </w:p>
        </w:tc>
        <w:tc>
          <w:tcPr>
            <w:tcW w:w="1378" w:type="dxa"/>
            <w:noWrap/>
          </w:tcPr>
          <w:p w14:paraId="6F7523C1" w14:textId="47A2C73E" w:rsidR="009C6EA8" w:rsidRPr="00FB6B0A" w:rsidRDefault="00F9597A"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304,149</w:t>
            </w:r>
          </w:p>
        </w:tc>
        <w:tc>
          <w:tcPr>
            <w:tcW w:w="1838" w:type="dxa"/>
            <w:noWrap/>
          </w:tcPr>
          <w:p w14:paraId="7BE9A782" w14:textId="260A6287" w:rsidR="009C6EA8" w:rsidRPr="00FB6B0A" w:rsidRDefault="00CF3242"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1,823,122</w:t>
            </w:r>
          </w:p>
        </w:tc>
        <w:tc>
          <w:tcPr>
            <w:tcW w:w="1355" w:type="dxa"/>
            <w:noWrap/>
          </w:tcPr>
          <w:p w14:paraId="4DCC24EE" w14:textId="36FE1160" w:rsidR="009C6EA8" w:rsidRPr="00FB6B0A" w:rsidRDefault="00661670"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295,940</w:t>
            </w:r>
          </w:p>
        </w:tc>
      </w:tr>
      <w:tr w:rsidR="009C6EA8" w:rsidRPr="009C6EA8" w14:paraId="6DE968CD"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5812894C" w14:textId="77777777" w:rsidR="009C6EA8" w:rsidRPr="009C6EA8" w:rsidRDefault="009C6EA8" w:rsidP="009C6EA8">
            <w:pPr>
              <w:jc w:val="right"/>
              <w:rPr>
                <w:rFonts w:eastAsia="Times New Roman" w:cs="Arial"/>
                <w:szCs w:val="22"/>
                <w:lang w:val="en-AU" w:eastAsia="en-AU"/>
              </w:rPr>
            </w:pPr>
          </w:p>
        </w:tc>
        <w:tc>
          <w:tcPr>
            <w:tcW w:w="1378" w:type="dxa"/>
            <w:noWrap/>
          </w:tcPr>
          <w:p w14:paraId="5A2A1195" w14:textId="2058E16D" w:rsidR="009C6EA8" w:rsidRPr="00FB6B0A" w:rsidRDefault="00F9597A"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630,139</w:t>
            </w:r>
          </w:p>
        </w:tc>
        <w:tc>
          <w:tcPr>
            <w:tcW w:w="1838" w:type="dxa"/>
            <w:noWrap/>
          </w:tcPr>
          <w:p w14:paraId="1AF16D54" w14:textId="2E05FCFB" w:rsidR="009C6EA8" w:rsidRPr="00FB6B0A" w:rsidRDefault="00CF3242"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3,142,109</w:t>
            </w:r>
          </w:p>
        </w:tc>
        <w:tc>
          <w:tcPr>
            <w:tcW w:w="1355" w:type="dxa"/>
            <w:noWrap/>
          </w:tcPr>
          <w:p w14:paraId="3AFBEE15" w14:textId="182364AA" w:rsidR="009C6EA8" w:rsidRPr="00FB6B0A" w:rsidRDefault="00661670"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604,778</w:t>
            </w:r>
          </w:p>
        </w:tc>
      </w:tr>
      <w:tr w:rsidR="009C6EA8" w:rsidRPr="009C6EA8" w14:paraId="181BFA1E"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2E668420" w14:textId="77777777" w:rsidR="009C6EA8" w:rsidRPr="009C6EA8" w:rsidRDefault="009C6EA8" w:rsidP="009C6EA8">
            <w:pPr>
              <w:jc w:val="right"/>
              <w:rPr>
                <w:rFonts w:eastAsia="Times New Roman" w:cs="Arial"/>
                <w:szCs w:val="22"/>
                <w:lang w:val="en-AU" w:eastAsia="en-AU"/>
              </w:rPr>
            </w:pPr>
          </w:p>
        </w:tc>
        <w:tc>
          <w:tcPr>
            <w:tcW w:w="1378" w:type="dxa"/>
            <w:noWrap/>
          </w:tcPr>
          <w:p w14:paraId="2DE778A6"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838" w:type="dxa"/>
            <w:noWrap/>
          </w:tcPr>
          <w:p w14:paraId="240C348D"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355" w:type="dxa"/>
            <w:noWrap/>
          </w:tcPr>
          <w:p w14:paraId="0348BA33" w14:textId="77777777" w:rsidR="009C6EA8" w:rsidRPr="009C6EA8" w:rsidRDefault="009C6EA8" w:rsidP="009C6E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9C6EA8" w:rsidRPr="009C6EA8" w14:paraId="3F20B311"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0456FE3D" w14:textId="77777777" w:rsidR="009C6EA8" w:rsidRPr="009C6EA8" w:rsidRDefault="009C6EA8" w:rsidP="009C6EA8">
            <w:pPr>
              <w:rPr>
                <w:rFonts w:eastAsia="Times New Roman" w:cs="Arial"/>
                <w:b w:val="0"/>
                <w:bCs w:val="0"/>
                <w:color w:val="000000"/>
                <w:szCs w:val="22"/>
                <w:lang w:val="en-AU" w:eastAsia="en-AU"/>
              </w:rPr>
            </w:pPr>
            <w:r w:rsidRPr="009C6EA8">
              <w:rPr>
                <w:rFonts w:eastAsia="Times New Roman" w:cs="Arial"/>
                <w:color w:val="000000"/>
                <w:szCs w:val="22"/>
                <w:lang w:val="en-AU" w:eastAsia="en-AU"/>
              </w:rPr>
              <w:t>Expenses</w:t>
            </w:r>
          </w:p>
        </w:tc>
        <w:tc>
          <w:tcPr>
            <w:tcW w:w="1378" w:type="dxa"/>
            <w:noWrap/>
          </w:tcPr>
          <w:p w14:paraId="18640A28" w14:textId="77777777" w:rsidR="009C6EA8" w:rsidRPr="009C6EA8" w:rsidRDefault="009C6EA8" w:rsidP="009C6EA8">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2"/>
                <w:lang w:val="en-AU" w:eastAsia="en-AU"/>
              </w:rPr>
            </w:pPr>
          </w:p>
        </w:tc>
        <w:tc>
          <w:tcPr>
            <w:tcW w:w="1838" w:type="dxa"/>
            <w:noWrap/>
          </w:tcPr>
          <w:p w14:paraId="50E66983" w14:textId="77777777" w:rsidR="009C6EA8" w:rsidRPr="009C6EA8" w:rsidRDefault="009C6EA8" w:rsidP="009C6E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355" w:type="dxa"/>
            <w:noWrap/>
          </w:tcPr>
          <w:p w14:paraId="326A9D48" w14:textId="77777777" w:rsidR="009C6EA8" w:rsidRPr="009C6EA8" w:rsidRDefault="009C6EA8" w:rsidP="009C6E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9C6EA8" w:rsidRPr="009C6EA8" w14:paraId="0A576C60"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648259D5" w14:textId="06F4058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Employee costs</w:t>
            </w:r>
          </w:p>
        </w:tc>
        <w:tc>
          <w:tcPr>
            <w:tcW w:w="1378" w:type="dxa"/>
            <w:noWrap/>
          </w:tcPr>
          <w:p w14:paraId="77BD253B" w14:textId="0614BAE4" w:rsidR="009C6EA8" w:rsidRPr="009C6EA8" w:rsidRDefault="00F9597A"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185,043</w:t>
            </w:r>
          </w:p>
        </w:tc>
        <w:tc>
          <w:tcPr>
            <w:tcW w:w="1838" w:type="dxa"/>
            <w:noWrap/>
          </w:tcPr>
          <w:p w14:paraId="2E4A3502" w14:textId="5219FDDF" w:rsidR="009C6EA8" w:rsidRPr="009C6EA8" w:rsidRDefault="00CF3242"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827,686</w:t>
            </w:r>
          </w:p>
        </w:tc>
        <w:tc>
          <w:tcPr>
            <w:tcW w:w="1355" w:type="dxa"/>
            <w:noWrap/>
          </w:tcPr>
          <w:p w14:paraId="6FE048D8" w14:textId="005D8771" w:rsidR="009C6EA8" w:rsidRPr="009C6EA8" w:rsidRDefault="00661670"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172,811</w:t>
            </w:r>
          </w:p>
        </w:tc>
      </w:tr>
      <w:tr w:rsidR="009C6EA8" w:rsidRPr="009C6EA8" w14:paraId="27FC3615"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56E5538C"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 xml:space="preserve">Materials and services </w:t>
            </w:r>
          </w:p>
        </w:tc>
        <w:tc>
          <w:tcPr>
            <w:tcW w:w="1378" w:type="dxa"/>
            <w:noWrap/>
          </w:tcPr>
          <w:p w14:paraId="36C3164C" w14:textId="2E22C9EE" w:rsidR="009C6EA8" w:rsidRPr="009C6EA8" w:rsidRDefault="00F9597A"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220,891</w:t>
            </w:r>
          </w:p>
        </w:tc>
        <w:tc>
          <w:tcPr>
            <w:tcW w:w="1838" w:type="dxa"/>
            <w:noWrap/>
          </w:tcPr>
          <w:p w14:paraId="753B45C9" w14:textId="6C44CA6E" w:rsidR="009C6EA8" w:rsidRPr="009C6EA8" w:rsidRDefault="00CF3242"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1,051,181</w:t>
            </w:r>
          </w:p>
        </w:tc>
        <w:tc>
          <w:tcPr>
            <w:tcW w:w="1355" w:type="dxa"/>
            <w:noWrap/>
          </w:tcPr>
          <w:p w14:paraId="7DF12A99" w14:textId="3C9AA186" w:rsidR="009C6EA8" w:rsidRPr="009C6EA8" w:rsidRDefault="00661670"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191,628</w:t>
            </w:r>
          </w:p>
        </w:tc>
      </w:tr>
      <w:tr w:rsidR="009C6EA8" w:rsidRPr="009C6EA8" w14:paraId="60B89998"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11B378E8"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 xml:space="preserve">Depreciation and amortisation </w:t>
            </w:r>
          </w:p>
        </w:tc>
        <w:tc>
          <w:tcPr>
            <w:tcW w:w="1378" w:type="dxa"/>
            <w:noWrap/>
          </w:tcPr>
          <w:p w14:paraId="2D321561" w14:textId="7E810370" w:rsidR="009C6EA8" w:rsidRPr="009C6EA8" w:rsidRDefault="00F9597A"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131,463</w:t>
            </w:r>
          </w:p>
        </w:tc>
        <w:tc>
          <w:tcPr>
            <w:tcW w:w="1838" w:type="dxa"/>
            <w:noWrap/>
          </w:tcPr>
          <w:p w14:paraId="756AED72" w14:textId="547B9CEA" w:rsidR="009C6EA8" w:rsidRPr="009C6EA8" w:rsidRDefault="00CF3242"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555,614</w:t>
            </w:r>
          </w:p>
        </w:tc>
        <w:tc>
          <w:tcPr>
            <w:tcW w:w="1355" w:type="dxa"/>
            <w:noWrap/>
          </w:tcPr>
          <w:p w14:paraId="22242BFF" w14:textId="11BDB4DE" w:rsidR="009C6EA8" w:rsidRPr="009C6EA8" w:rsidRDefault="00661670"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136,456</w:t>
            </w:r>
          </w:p>
        </w:tc>
      </w:tr>
      <w:tr w:rsidR="009C6EA8" w:rsidRPr="009C6EA8" w14:paraId="337BB045"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24E952C2"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 xml:space="preserve">Finance costs </w:t>
            </w:r>
          </w:p>
        </w:tc>
        <w:tc>
          <w:tcPr>
            <w:tcW w:w="1378" w:type="dxa"/>
            <w:noWrap/>
          </w:tcPr>
          <w:p w14:paraId="26189D97" w14:textId="49EA9402" w:rsidR="009C6EA8" w:rsidRPr="009C6EA8" w:rsidRDefault="00F9597A"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23,500</w:t>
            </w:r>
          </w:p>
        </w:tc>
        <w:tc>
          <w:tcPr>
            <w:tcW w:w="1838" w:type="dxa"/>
            <w:noWrap/>
          </w:tcPr>
          <w:p w14:paraId="19627DC7" w14:textId="6323C2B3" w:rsidR="009C6EA8" w:rsidRPr="009C6EA8" w:rsidRDefault="00CF3242"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102,032</w:t>
            </w:r>
          </w:p>
        </w:tc>
        <w:tc>
          <w:tcPr>
            <w:tcW w:w="1355" w:type="dxa"/>
            <w:noWrap/>
          </w:tcPr>
          <w:p w14:paraId="727FFF8D" w14:textId="6A449020" w:rsidR="009C6EA8" w:rsidRPr="009C6EA8" w:rsidRDefault="00661670"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21,439</w:t>
            </w:r>
          </w:p>
        </w:tc>
      </w:tr>
      <w:tr w:rsidR="009C6EA8" w:rsidRPr="009C6EA8" w14:paraId="14171AC5"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2B261E36"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Loss on disposal of property, plant and equipment and intangibles</w:t>
            </w:r>
          </w:p>
        </w:tc>
        <w:tc>
          <w:tcPr>
            <w:tcW w:w="1378" w:type="dxa"/>
            <w:noWrap/>
          </w:tcPr>
          <w:p w14:paraId="7061BA9B" w14:textId="38D621AB" w:rsidR="009C6EA8" w:rsidRPr="009C6EA8" w:rsidRDefault="00F9597A"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6,340</w:t>
            </w:r>
          </w:p>
        </w:tc>
        <w:tc>
          <w:tcPr>
            <w:tcW w:w="1838" w:type="dxa"/>
            <w:noWrap/>
          </w:tcPr>
          <w:p w14:paraId="7040C6F7" w14:textId="36A16DFE" w:rsidR="009C6EA8" w:rsidRPr="009C6EA8" w:rsidRDefault="00CF3242"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57,700</w:t>
            </w:r>
          </w:p>
        </w:tc>
        <w:tc>
          <w:tcPr>
            <w:tcW w:w="1355" w:type="dxa"/>
            <w:noWrap/>
          </w:tcPr>
          <w:p w14:paraId="001DD8E9" w14:textId="5655E403" w:rsidR="009C6EA8" w:rsidRPr="009C6EA8" w:rsidRDefault="00661670"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2,667</w:t>
            </w:r>
          </w:p>
        </w:tc>
      </w:tr>
      <w:tr w:rsidR="009C6EA8" w:rsidRPr="009C6EA8" w14:paraId="4FCDF520"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556AACEA"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Capital grant expenses*</w:t>
            </w:r>
          </w:p>
        </w:tc>
        <w:tc>
          <w:tcPr>
            <w:tcW w:w="1378" w:type="dxa"/>
            <w:noWrap/>
          </w:tcPr>
          <w:p w14:paraId="787881CD" w14:textId="5D55C92F" w:rsidR="009C6EA8" w:rsidRPr="009C6EA8" w:rsidRDefault="00A53DED"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w:t>
            </w:r>
          </w:p>
        </w:tc>
        <w:tc>
          <w:tcPr>
            <w:tcW w:w="1838" w:type="dxa"/>
            <w:noWrap/>
          </w:tcPr>
          <w:p w14:paraId="42187DFF" w14:textId="4DE71622" w:rsidR="009C6EA8" w:rsidRPr="009C6EA8" w:rsidRDefault="00CF3242"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15,627</w:t>
            </w:r>
          </w:p>
        </w:tc>
        <w:tc>
          <w:tcPr>
            <w:tcW w:w="1355" w:type="dxa"/>
            <w:noWrap/>
          </w:tcPr>
          <w:p w14:paraId="40A68876" w14:textId="5E255033" w:rsidR="009C6EA8" w:rsidRPr="009C6EA8" w:rsidRDefault="00621499"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w:t>
            </w:r>
          </w:p>
        </w:tc>
      </w:tr>
      <w:tr w:rsidR="009C6EA8" w:rsidRPr="009C6EA8" w14:paraId="3B602434"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2B41B9CC"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Other expenses</w:t>
            </w:r>
          </w:p>
        </w:tc>
        <w:tc>
          <w:tcPr>
            <w:tcW w:w="1378" w:type="dxa"/>
            <w:noWrap/>
          </w:tcPr>
          <w:p w14:paraId="1381938A" w14:textId="23D7C8F2" w:rsidR="009C6EA8" w:rsidRPr="009C6EA8" w:rsidRDefault="00A53DED"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15,68</w:t>
            </w:r>
            <w:r w:rsidR="008E5BC2">
              <w:rPr>
                <w:rFonts w:eastAsia="Times New Roman" w:cs="Arial"/>
                <w:szCs w:val="22"/>
                <w:lang w:val="en-AU" w:eastAsia="en-AU"/>
              </w:rPr>
              <w:t>4</w:t>
            </w:r>
          </w:p>
        </w:tc>
        <w:tc>
          <w:tcPr>
            <w:tcW w:w="1838" w:type="dxa"/>
            <w:noWrap/>
          </w:tcPr>
          <w:p w14:paraId="6D05D319" w14:textId="0E9928A5" w:rsidR="009C6EA8" w:rsidRPr="009C6EA8" w:rsidRDefault="00CF3242"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51,318</w:t>
            </w:r>
          </w:p>
        </w:tc>
        <w:tc>
          <w:tcPr>
            <w:tcW w:w="1355" w:type="dxa"/>
            <w:noWrap/>
          </w:tcPr>
          <w:p w14:paraId="1380483E" w14:textId="464272CB" w:rsidR="009C6EA8" w:rsidRPr="009C6EA8" w:rsidRDefault="00621499"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13,828</w:t>
            </w:r>
          </w:p>
        </w:tc>
      </w:tr>
      <w:tr w:rsidR="009C6EA8" w:rsidRPr="009C6EA8" w14:paraId="69FA2702"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7259A2C6" w14:textId="77777777" w:rsidR="009C6EA8" w:rsidRPr="009C6EA8" w:rsidRDefault="009C6EA8" w:rsidP="009C6EA8">
            <w:pPr>
              <w:jc w:val="right"/>
              <w:rPr>
                <w:rFonts w:eastAsia="Times New Roman" w:cs="Arial"/>
                <w:szCs w:val="22"/>
                <w:lang w:val="en-AU" w:eastAsia="en-AU"/>
              </w:rPr>
            </w:pPr>
          </w:p>
        </w:tc>
        <w:tc>
          <w:tcPr>
            <w:tcW w:w="1378" w:type="dxa"/>
            <w:noWrap/>
          </w:tcPr>
          <w:p w14:paraId="73C6757F" w14:textId="6F2FE821" w:rsidR="009C6EA8" w:rsidRPr="00FB6B0A" w:rsidRDefault="00A53DED"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582,92</w:t>
            </w:r>
            <w:r w:rsidR="008E5BC2" w:rsidRPr="00FB6B0A">
              <w:rPr>
                <w:rFonts w:eastAsia="Times New Roman" w:cs="Arial"/>
                <w:b/>
                <w:bCs/>
                <w:szCs w:val="22"/>
                <w:lang w:val="en-AU" w:eastAsia="en-AU"/>
              </w:rPr>
              <w:t>1</w:t>
            </w:r>
          </w:p>
        </w:tc>
        <w:tc>
          <w:tcPr>
            <w:tcW w:w="1838" w:type="dxa"/>
            <w:noWrap/>
          </w:tcPr>
          <w:p w14:paraId="1F9674D0" w14:textId="78868707" w:rsidR="009C6EA8" w:rsidRPr="00FB6B0A" w:rsidRDefault="00CF3242"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2,661,158</w:t>
            </w:r>
          </w:p>
        </w:tc>
        <w:tc>
          <w:tcPr>
            <w:tcW w:w="1355" w:type="dxa"/>
            <w:noWrap/>
          </w:tcPr>
          <w:p w14:paraId="6A0C03C9" w14:textId="575A7CE8" w:rsidR="009C6EA8" w:rsidRPr="00FB6B0A" w:rsidRDefault="00621499"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538,829</w:t>
            </w:r>
          </w:p>
        </w:tc>
      </w:tr>
      <w:tr w:rsidR="009C6EA8" w:rsidRPr="009C6EA8" w14:paraId="2478F5C5"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3CB774A2" w14:textId="77777777" w:rsidR="009C6EA8" w:rsidRPr="009C6EA8" w:rsidRDefault="009C6EA8" w:rsidP="009C6EA8">
            <w:pPr>
              <w:rPr>
                <w:rFonts w:eastAsia="Times New Roman" w:cs="Arial"/>
                <w:b w:val="0"/>
                <w:bCs w:val="0"/>
                <w:color w:val="000000"/>
                <w:szCs w:val="22"/>
                <w:lang w:val="en-AU" w:eastAsia="en-AU"/>
              </w:rPr>
            </w:pPr>
            <w:r w:rsidRPr="009C6EA8">
              <w:rPr>
                <w:rFonts w:eastAsia="Times New Roman" w:cs="Arial"/>
                <w:color w:val="000000"/>
                <w:szCs w:val="22"/>
                <w:lang w:val="en-AU" w:eastAsia="en-AU"/>
              </w:rPr>
              <w:t>Increase in operating capability</w:t>
            </w:r>
          </w:p>
        </w:tc>
        <w:tc>
          <w:tcPr>
            <w:tcW w:w="1378" w:type="dxa"/>
            <w:noWrap/>
          </w:tcPr>
          <w:p w14:paraId="65023CD2" w14:textId="5DA978B3" w:rsidR="009C6EA8" w:rsidRPr="00FB6B0A" w:rsidRDefault="00A53DED"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47,21</w:t>
            </w:r>
            <w:r w:rsidR="008E5BC2" w:rsidRPr="00FB6B0A">
              <w:rPr>
                <w:rFonts w:eastAsia="Times New Roman" w:cs="Arial"/>
                <w:b/>
                <w:bCs/>
                <w:szCs w:val="22"/>
                <w:lang w:val="en-AU" w:eastAsia="en-AU"/>
              </w:rPr>
              <w:t>8</w:t>
            </w:r>
          </w:p>
        </w:tc>
        <w:tc>
          <w:tcPr>
            <w:tcW w:w="1838" w:type="dxa"/>
            <w:noWrap/>
          </w:tcPr>
          <w:p w14:paraId="21E4398E" w14:textId="00589671" w:rsidR="009C6EA8" w:rsidRPr="00FB6B0A" w:rsidRDefault="00CF3242"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480,951</w:t>
            </w:r>
          </w:p>
        </w:tc>
        <w:tc>
          <w:tcPr>
            <w:tcW w:w="1355" w:type="dxa"/>
            <w:noWrap/>
          </w:tcPr>
          <w:p w14:paraId="4B80BA54" w14:textId="3B0188C1" w:rsidR="009C6EA8" w:rsidRPr="00FB6B0A" w:rsidRDefault="00621499"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65,949</w:t>
            </w:r>
          </w:p>
        </w:tc>
      </w:tr>
      <w:tr w:rsidR="009C6EA8" w:rsidRPr="009C6EA8" w14:paraId="30DC0EF8"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4F794475" w14:textId="77777777" w:rsidR="009C6EA8" w:rsidRPr="009C6EA8" w:rsidRDefault="009C6EA8" w:rsidP="009C6EA8">
            <w:pPr>
              <w:jc w:val="right"/>
              <w:rPr>
                <w:rFonts w:eastAsia="Times New Roman" w:cs="Arial"/>
                <w:szCs w:val="22"/>
                <w:lang w:val="en-AU" w:eastAsia="en-AU"/>
              </w:rPr>
            </w:pPr>
          </w:p>
        </w:tc>
        <w:tc>
          <w:tcPr>
            <w:tcW w:w="1378" w:type="dxa"/>
            <w:noWrap/>
          </w:tcPr>
          <w:p w14:paraId="7A4417B0" w14:textId="77777777" w:rsidR="009C6EA8" w:rsidRPr="009C6EA8" w:rsidRDefault="009C6EA8" w:rsidP="009C6E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838" w:type="dxa"/>
            <w:noWrap/>
          </w:tcPr>
          <w:p w14:paraId="214DBD51" w14:textId="77777777" w:rsidR="009C6EA8" w:rsidRPr="009C6EA8" w:rsidRDefault="009C6EA8" w:rsidP="009C6E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355" w:type="dxa"/>
            <w:noWrap/>
          </w:tcPr>
          <w:p w14:paraId="3E648200" w14:textId="77777777" w:rsidR="009C6EA8" w:rsidRPr="009C6EA8" w:rsidRDefault="009C6EA8" w:rsidP="009C6E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9C6EA8" w:rsidRPr="009C6EA8" w14:paraId="68D73A20"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05371930" w14:textId="77777777" w:rsidR="009C6EA8" w:rsidRPr="009C6EA8" w:rsidRDefault="009C6EA8" w:rsidP="009C6EA8">
            <w:pPr>
              <w:rPr>
                <w:rFonts w:eastAsia="Times New Roman" w:cs="Arial"/>
                <w:b w:val="0"/>
                <w:bCs w:val="0"/>
                <w:color w:val="000000"/>
                <w:szCs w:val="22"/>
                <w:lang w:val="en-AU" w:eastAsia="en-AU"/>
              </w:rPr>
            </w:pPr>
            <w:r w:rsidRPr="009C6EA8">
              <w:rPr>
                <w:rFonts w:eastAsia="Times New Roman" w:cs="Arial"/>
                <w:color w:val="000000"/>
                <w:szCs w:val="22"/>
                <w:lang w:val="en-AU" w:eastAsia="en-AU"/>
              </w:rPr>
              <w:t>Other comprehensive income</w:t>
            </w:r>
          </w:p>
        </w:tc>
        <w:tc>
          <w:tcPr>
            <w:tcW w:w="1378" w:type="dxa"/>
            <w:noWrap/>
          </w:tcPr>
          <w:p w14:paraId="2DCDF8CA"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val="en-AU" w:eastAsia="en-AU"/>
              </w:rPr>
            </w:pPr>
          </w:p>
        </w:tc>
        <w:tc>
          <w:tcPr>
            <w:tcW w:w="1838" w:type="dxa"/>
            <w:noWrap/>
          </w:tcPr>
          <w:p w14:paraId="51CE399E"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355" w:type="dxa"/>
            <w:noWrap/>
          </w:tcPr>
          <w:p w14:paraId="6F85533D"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9C6EA8" w:rsidRPr="009C6EA8" w14:paraId="58FBC0FD"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23DDDE47" w14:textId="77777777" w:rsidR="009C6EA8" w:rsidRPr="009C6EA8" w:rsidRDefault="009C6EA8" w:rsidP="009C6EA8">
            <w:pPr>
              <w:rPr>
                <w:rFonts w:eastAsia="Times New Roman" w:cs="Arial"/>
                <w:b w:val="0"/>
                <w:bCs w:val="0"/>
                <w:szCs w:val="22"/>
                <w:lang w:val="en-AU" w:eastAsia="en-AU"/>
              </w:rPr>
            </w:pPr>
            <w:r w:rsidRPr="009C6EA8">
              <w:rPr>
                <w:rFonts w:eastAsia="Times New Roman" w:cs="Arial"/>
                <w:szCs w:val="22"/>
                <w:lang w:val="en-AU" w:eastAsia="en-AU"/>
              </w:rPr>
              <w:t>Items that will not be reclassified to operating capability</w:t>
            </w:r>
          </w:p>
        </w:tc>
        <w:tc>
          <w:tcPr>
            <w:tcW w:w="1378" w:type="dxa"/>
            <w:noWrap/>
          </w:tcPr>
          <w:p w14:paraId="11A51EEA" w14:textId="77777777" w:rsidR="009C6EA8" w:rsidRPr="009C6EA8" w:rsidRDefault="009C6EA8" w:rsidP="009C6EA8">
            <w:pPr>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p>
        </w:tc>
        <w:tc>
          <w:tcPr>
            <w:tcW w:w="1838" w:type="dxa"/>
            <w:noWrap/>
          </w:tcPr>
          <w:p w14:paraId="069FB7AD" w14:textId="77777777" w:rsidR="009C6EA8" w:rsidRPr="009C6EA8" w:rsidRDefault="009C6EA8" w:rsidP="009C6E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355" w:type="dxa"/>
            <w:noWrap/>
          </w:tcPr>
          <w:p w14:paraId="385611F5" w14:textId="77777777" w:rsidR="009C6EA8" w:rsidRPr="009C6EA8" w:rsidRDefault="009C6EA8" w:rsidP="009C6E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9C6EA8" w:rsidRPr="009C6EA8" w14:paraId="5F6C670C"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4D2793B5"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Increase (decrease) in asset revaluation surplus</w:t>
            </w:r>
          </w:p>
        </w:tc>
        <w:tc>
          <w:tcPr>
            <w:tcW w:w="1378" w:type="dxa"/>
            <w:noWrap/>
          </w:tcPr>
          <w:p w14:paraId="025A72E1" w14:textId="71CDF4D6" w:rsidR="009C6EA8" w:rsidRPr="009C6EA8" w:rsidRDefault="00A53DED"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(4,830)</w:t>
            </w:r>
          </w:p>
        </w:tc>
        <w:tc>
          <w:tcPr>
            <w:tcW w:w="1838" w:type="dxa"/>
            <w:noWrap/>
          </w:tcPr>
          <w:p w14:paraId="62F5D955" w14:textId="6284618C" w:rsidR="009C6EA8" w:rsidRPr="009C6EA8" w:rsidRDefault="003C28A3"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466,1</w:t>
            </w:r>
            <w:r w:rsidR="00820915">
              <w:rPr>
                <w:rFonts w:eastAsia="Times New Roman" w:cs="Arial"/>
                <w:szCs w:val="22"/>
                <w:lang w:val="en-AU" w:eastAsia="en-AU"/>
              </w:rPr>
              <w:t>29</w:t>
            </w:r>
          </w:p>
        </w:tc>
        <w:tc>
          <w:tcPr>
            <w:tcW w:w="1355" w:type="dxa"/>
            <w:noWrap/>
          </w:tcPr>
          <w:p w14:paraId="0C9F898C" w14:textId="07C37FBF" w:rsidR="009C6EA8" w:rsidRPr="009C6EA8" w:rsidRDefault="00621499"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(1,501)</w:t>
            </w:r>
          </w:p>
        </w:tc>
      </w:tr>
      <w:tr w:rsidR="009C6EA8" w:rsidRPr="009C6EA8" w14:paraId="326706F7"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5CBA111F" w14:textId="77777777" w:rsidR="009C6EA8" w:rsidRPr="009C6EA8" w:rsidRDefault="009C6EA8" w:rsidP="009C6EA8">
            <w:pPr>
              <w:rPr>
                <w:rFonts w:eastAsia="Times New Roman" w:cs="Arial"/>
                <w:szCs w:val="22"/>
                <w:lang w:val="en-AU" w:eastAsia="en-AU"/>
              </w:rPr>
            </w:pPr>
            <w:r w:rsidRPr="009C6EA8">
              <w:rPr>
                <w:rFonts w:eastAsia="Times New Roman" w:cs="Arial"/>
                <w:szCs w:val="22"/>
                <w:lang w:val="en-AU" w:eastAsia="en-AU"/>
              </w:rPr>
              <w:t>Movements in cash flow and cost of hedging reserves</w:t>
            </w:r>
          </w:p>
        </w:tc>
        <w:tc>
          <w:tcPr>
            <w:tcW w:w="1378" w:type="dxa"/>
            <w:noWrap/>
          </w:tcPr>
          <w:p w14:paraId="692FC354" w14:textId="318CED7F" w:rsidR="009C6EA8" w:rsidRPr="009C6EA8" w:rsidRDefault="00A53DED"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(900)</w:t>
            </w:r>
          </w:p>
        </w:tc>
        <w:tc>
          <w:tcPr>
            <w:tcW w:w="1838" w:type="dxa"/>
            <w:noWrap/>
          </w:tcPr>
          <w:p w14:paraId="68654B06" w14:textId="46E6B4EB" w:rsidR="009C6EA8" w:rsidRPr="009C6EA8" w:rsidRDefault="003C28A3"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8,159</w:t>
            </w:r>
          </w:p>
        </w:tc>
        <w:tc>
          <w:tcPr>
            <w:tcW w:w="1355" w:type="dxa"/>
            <w:noWrap/>
          </w:tcPr>
          <w:p w14:paraId="10FC1966" w14:textId="528463B8" w:rsidR="009C6EA8" w:rsidRPr="009C6EA8" w:rsidRDefault="00621499"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1,442</w:t>
            </w:r>
          </w:p>
        </w:tc>
      </w:tr>
      <w:tr w:rsidR="009C6EA8" w:rsidRPr="009C6EA8" w14:paraId="49C4447D"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35831250" w14:textId="77777777" w:rsidR="009C6EA8" w:rsidRPr="009C6EA8" w:rsidRDefault="009C6EA8" w:rsidP="009C6EA8">
            <w:pPr>
              <w:jc w:val="right"/>
              <w:rPr>
                <w:rFonts w:eastAsia="Times New Roman" w:cs="Arial"/>
                <w:szCs w:val="22"/>
                <w:lang w:val="en-AU" w:eastAsia="en-AU"/>
              </w:rPr>
            </w:pPr>
          </w:p>
        </w:tc>
        <w:tc>
          <w:tcPr>
            <w:tcW w:w="1378" w:type="dxa"/>
            <w:noWrap/>
          </w:tcPr>
          <w:p w14:paraId="00626613" w14:textId="2B44E05B" w:rsidR="009C6EA8" w:rsidRPr="00FB6B0A" w:rsidRDefault="00A53DED"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(5,730)</w:t>
            </w:r>
          </w:p>
        </w:tc>
        <w:tc>
          <w:tcPr>
            <w:tcW w:w="1838" w:type="dxa"/>
            <w:noWrap/>
          </w:tcPr>
          <w:p w14:paraId="59F2A6AA" w14:textId="7D6F2B0C" w:rsidR="009C6EA8" w:rsidRPr="00FB6B0A" w:rsidRDefault="00820915"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474,288</w:t>
            </w:r>
          </w:p>
        </w:tc>
        <w:tc>
          <w:tcPr>
            <w:tcW w:w="1355" w:type="dxa"/>
            <w:noWrap/>
          </w:tcPr>
          <w:p w14:paraId="4CF0B7B4" w14:textId="5D61D023" w:rsidR="009C6EA8" w:rsidRPr="00FB6B0A" w:rsidRDefault="00621499" w:rsidP="009C6EA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(59)</w:t>
            </w:r>
          </w:p>
        </w:tc>
      </w:tr>
      <w:tr w:rsidR="009C6EA8" w:rsidRPr="009C6EA8" w14:paraId="34B7BBCA" w14:textId="77777777" w:rsidTr="00B11734">
        <w:trPr>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09844FEC" w14:textId="77777777" w:rsidR="009C6EA8" w:rsidRPr="009C6EA8" w:rsidRDefault="009C6EA8" w:rsidP="009C6EA8">
            <w:pPr>
              <w:rPr>
                <w:rFonts w:eastAsia="Times New Roman" w:cs="Arial"/>
                <w:b w:val="0"/>
                <w:bCs w:val="0"/>
                <w:color w:val="000000"/>
                <w:szCs w:val="22"/>
                <w:lang w:val="en-AU" w:eastAsia="en-AU"/>
              </w:rPr>
            </w:pPr>
            <w:r w:rsidRPr="009C6EA8">
              <w:rPr>
                <w:rFonts w:eastAsia="Times New Roman" w:cs="Arial"/>
                <w:color w:val="000000"/>
                <w:szCs w:val="22"/>
                <w:lang w:val="en-AU" w:eastAsia="en-AU"/>
              </w:rPr>
              <w:t>Total comprehensive income</w:t>
            </w:r>
          </w:p>
        </w:tc>
        <w:tc>
          <w:tcPr>
            <w:tcW w:w="1378" w:type="dxa"/>
            <w:noWrap/>
          </w:tcPr>
          <w:p w14:paraId="33FAC26A" w14:textId="4AA09578" w:rsidR="009C6EA8" w:rsidRPr="00FB6B0A" w:rsidRDefault="00A53DED"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41,489</w:t>
            </w:r>
          </w:p>
        </w:tc>
        <w:tc>
          <w:tcPr>
            <w:tcW w:w="1838" w:type="dxa"/>
            <w:noWrap/>
          </w:tcPr>
          <w:p w14:paraId="36012065" w14:textId="63A860A6" w:rsidR="009C6EA8" w:rsidRPr="00FB6B0A" w:rsidRDefault="00820915"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955</w:t>
            </w:r>
            <w:r w:rsidR="00661670" w:rsidRPr="00FB6B0A">
              <w:rPr>
                <w:rFonts w:eastAsia="Times New Roman" w:cs="Arial"/>
                <w:b/>
                <w:bCs/>
                <w:szCs w:val="22"/>
                <w:lang w:val="en-AU" w:eastAsia="en-AU"/>
              </w:rPr>
              <w:t>,</w:t>
            </w:r>
            <w:r w:rsidRPr="00FB6B0A">
              <w:rPr>
                <w:rFonts w:eastAsia="Times New Roman" w:cs="Arial"/>
                <w:b/>
                <w:bCs/>
                <w:szCs w:val="22"/>
                <w:lang w:val="en-AU" w:eastAsia="en-AU"/>
              </w:rPr>
              <w:t>239</w:t>
            </w:r>
          </w:p>
        </w:tc>
        <w:tc>
          <w:tcPr>
            <w:tcW w:w="1355" w:type="dxa"/>
            <w:noWrap/>
          </w:tcPr>
          <w:p w14:paraId="64448BE5" w14:textId="5187BF7D" w:rsidR="009C6EA8" w:rsidRPr="00FB6B0A" w:rsidRDefault="00621499" w:rsidP="009C6EA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65,890</w:t>
            </w:r>
          </w:p>
        </w:tc>
      </w:tr>
      <w:tr w:rsidR="009C6EA8" w:rsidRPr="009C6EA8" w14:paraId="2C610F2F" w14:textId="77777777" w:rsidTr="00B1173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10" w:type="dxa"/>
            <w:noWrap/>
            <w:hideMark/>
          </w:tcPr>
          <w:p w14:paraId="07AC07EE" w14:textId="77777777" w:rsidR="009C6EA8" w:rsidRPr="009C6EA8" w:rsidRDefault="009C6EA8" w:rsidP="009C6EA8">
            <w:pPr>
              <w:jc w:val="right"/>
              <w:rPr>
                <w:rFonts w:eastAsia="Times New Roman" w:cs="Arial"/>
                <w:szCs w:val="22"/>
                <w:lang w:val="en-AU" w:eastAsia="en-AU"/>
              </w:rPr>
            </w:pPr>
          </w:p>
        </w:tc>
        <w:tc>
          <w:tcPr>
            <w:tcW w:w="1378" w:type="dxa"/>
            <w:hideMark/>
          </w:tcPr>
          <w:p w14:paraId="6DB8FD3D"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838" w:type="dxa"/>
            <w:hideMark/>
          </w:tcPr>
          <w:p w14:paraId="6CD80DCF"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355" w:type="dxa"/>
            <w:noWrap/>
            <w:hideMark/>
          </w:tcPr>
          <w:p w14:paraId="3796B9C2" w14:textId="77777777" w:rsidR="009C6EA8" w:rsidRPr="009C6EA8" w:rsidRDefault="009C6EA8" w:rsidP="009C6E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FB6B0A" w:rsidRPr="009C6EA8" w14:paraId="158F68EF" w14:textId="77777777" w:rsidTr="00CA0E27">
        <w:trPr>
          <w:trHeight w:val="235"/>
        </w:trPr>
        <w:tc>
          <w:tcPr>
            <w:cnfStyle w:val="001000000000" w:firstRow="0" w:lastRow="0" w:firstColumn="1" w:lastColumn="0" w:oddVBand="0" w:evenVBand="0" w:oddHBand="0" w:evenHBand="0" w:firstRowFirstColumn="0" w:firstRowLastColumn="0" w:lastRowFirstColumn="0" w:lastRowLastColumn="0"/>
            <w:tcW w:w="9781" w:type="dxa"/>
            <w:gridSpan w:val="4"/>
            <w:tcBorders>
              <w:top w:val="nil"/>
              <w:bottom w:val="single" w:sz="4" w:space="0" w:color="000000" w:themeColor="text1"/>
              <w:right w:val="single" w:sz="4" w:space="0" w:color="auto"/>
            </w:tcBorders>
            <w:hideMark/>
          </w:tcPr>
          <w:p w14:paraId="22905166" w14:textId="24B0DA0C" w:rsidR="00FB6B0A" w:rsidRPr="009C6EA8" w:rsidRDefault="00FB6B0A" w:rsidP="009C6EA8">
            <w:pPr>
              <w:rPr>
                <w:rFonts w:eastAsia="Times New Roman" w:cs="Arial"/>
                <w:szCs w:val="22"/>
                <w:lang w:val="en-AU" w:eastAsia="en-AU"/>
              </w:rPr>
            </w:pPr>
            <w:r w:rsidRPr="009C6EA8">
              <w:rPr>
                <w:rFonts w:eastAsia="Times New Roman" w:cs="Arial"/>
                <w:szCs w:val="22"/>
                <w:lang w:val="en-AU" w:eastAsia="en-AU"/>
              </w:rPr>
              <w:t>*Transfer of Brisbane Metro assets to the Queensland Government.</w:t>
            </w:r>
          </w:p>
        </w:tc>
      </w:tr>
    </w:tbl>
    <w:p w14:paraId="5D2162F8" w14:textId="5CA11EDF" w:rsidR="00D53BF1" w:rsidRDefault="00D53BF1" w:rsidP="00386B12"/>
    <w:p w14:paraId="729BD57A" w14:textId="77777777" w:rsidR="00363242" w:rsidRDefault="00363242">
      <w:pPr>
        <w:rPr>
          <w:rFonts w:eastAsia="Times New Roman" w:cstheme="majorBidi"/>
          <w:b/>
          <w:snapToGrid w:val="0"/>
          <w:color w:val="0067B1"/>
          <w:sz w:val="28"/>
          <w:szCs w:val="32"/>
          <w:lang w:val="en-AU"/>
        </w:rPr>
      </w:pPr>
      <w:bookmarkStart w:id="10" w:name="_Toc111126247"/>
      <w:r>
        <w:br w:type="page"/>
      </w:r>
    </w:p>
    <w:p w14:paraId="14647F94" w14:textId="3874C44F" w:rsidR="00766CBB" w:rsidRPr="00B24360" w:rsidRDefault="00C80332" w:rsidP="0057257F">
      <w:pPr>
        <w:pStyle w:val="Heading3"/>
      </w:pPr>
      <w:bookmarkStart w:id="11" w:name="_Toc127436750"/>
      <w:r w:rsidRPr="00B24360">
        <w:lastRenderedPageBreak/>
        <w:t>Statement of financial position</w:t>
      </w:r>
      <w:bookmarkEnd w:id="10"/>
      <w:bookmarkEnd w:id="11"/>
    </w:p>
    <w:p w14:paraId="4EFB0372" w14:textId="02B5F302" w:rsidR="00386B12" w:rsidRDefault="00386B12" w:rsidP="00386B12">
      <w:pPr>
        <w:rPr>
          <w:rFonts w:cs="Arial"/>
          <w:b/>
          <w:bCs/>
          <w:szCs w:val="22"/>
        </w:rPr>
      </w:pPr>
    </w:p>
    <w:tbl>
      <w:tblPr>
        <w:tblStyle w:val="ListTable3"/>
        <w:tblW w:w="9785" w:type="dxa"/>
        <w:tblLook w:val="04A0" w:firstRow="1" w:lastRow="0" w:firstColumn="1" w:lastColumn="0" w:noHBand="0" w:noVBand="1"/>
        <w:tblCaption w:val="Statement of Finance Position "/>
        <w:tblDescription w:val="For the Period Ended September twenty twenty two.&#10;Actual, the following amounts are rounded to the nearest thousand.&#10;Approved annual budget 2022 - 23, the following amounts are rounded to the nearest thousand.&#10;Actual June 2022, the following amounts are rounded to the nearest thousand. &#10;Assets&#10;Current assets&#10;Cash and cash equivalents (645,520), (350,851), (529,013)&#10;Receivables (86,963), (84,505), (152,182).&#10;Inventories (19,043), (19,841), (19,137).&#10;Other (140,782), (120,171), (153,585).&#10;Assets classified as held for sale (2,817), (Nil), (2,817)&#10;Total current assets (895,125), (575,368), (856,733)&#10;&#10;Non-current assets&#10;Investment in associate (2,158,143), (2,158,143), (2,158,143)&#10;Other investments (201,223), (202,043), (201,305)&#10;Derivative financial instruments (5,050), (Nil), (5,949)&#10;Property, plant and equipment (29,420,068), (30,815,016), (29,285,413)&#10;Intangibles (162,780), (143,329), (168,586)&#10;Lease right of use assets (417,503), (385,783), (433,668)&#10;Superannuation defined benefit plan (21,086), (21,086), (21,086)&#10;Total non-current assets (32,385,853), (33,725,400), (32,274,150)&#10;Total assets (33,280,978), (34,300,768), (33,130,883)&#10;&#10;Liabilities&#10;Current liabilities&#10;Payables (434,886), (421,783), (305,264)&#10;Other financial liabilities (88,315), (103,509), (88,315)&#10;Lease liabilities (82,663), (88,718), (82,596)&#10;Provisions (232,347), (227,146), (235,526)&#10;Service concession liabilities (59,595), (60,147), (59,595)&#10;Other (161,653), (121,081), (121,081),&#10;Total current Liabilities, (1,059,459), (1,022,384), (892,377),&#10;&#10;Non-current liabilities&#10;Payables (4,739), (7,713), (7,713)&#10;Other financial liabilities (2,290,241), (2,533,235), (2,312,511)&#10;Lease liabilities (458,389), (417,196), (476,223),&#10;Provisions (131,594), (143,131), (131,593)&#10;Service concession liabilities (1,681,393), (1,648,608), (1,696,292),&#10;Other (131,492), (91,080), (131,992),&#10;Total non-current liabilities, (4,697,848), (4,840,963), (4,756,324),&#10;Total liabilities, (5,757,307), (5,863,347), (5,648,701).&#10;Net community assets, (27,523,671), (28,437,421), (27,482,182).&#10;&#10;Community equity&#10;Asset revaluation surplus (13,942,577), (14,413,536), (13,947,407),&#10;Cash flow and cost of hedging reserves, (decrease of 9,059), (nil) (decease of 8,160),&#10;Accumulated surplus, (13,590,153), (14,023,885), (13,542,935),&#10;Total community equity (27,523,671), (28,437,421), (27,482,182).&#10;"/>
      </w:tblPr>
      <w:tblGrid>
        <w:gridCol w:w="4631"/>
        <w:gridCol w:w="1506"/>
        <w:gridCol w:w="1881"/>
        <w:gridCol w:w="1767"/>
      </w:tblGrid>
      <w:tr w:rsidR="00FF1BB2" w:rsidRPr="00FF1BB2" w14:paraId="5A1F0DE8" w14:textId="77777777" w:rsidTr="00055629">
        <w:trPr>
          <w:cnfStyle w:val="100000000000" w:firstRow="1" w:lastRow="0" w:firstColumn="0" w:lastColumn="0" w:oddVBand="0" w:evenVBand="0" w:oddHBand="0" w:evenHBand="0" w:firstRowFirstColumn="0" w:firstRowLastColumn="0" w:lastRowFirstColumn="0" w:lastRowLastColumn="0"/>
          <w:trHeight w:val="829"/>
        </w:trPr>
        <w:tc>
          <w:tcPr>
            <w:cnfStyle w:val="001000000100" w:firstRow="0" w:lastRow="0" w:firstColumn="1" w:lastColumn="0" w:oddVBand="0" w:evenVBand="0" w:oddHBand="0" w:evenHBand="0" w:firstRowFirstColumn="1" w:firstRowLastColumn="0" w:lastRowFirstColumn="0" w:lastRowLastColumn="0"/>
            <w:tcW w:w="4631" w:type="dxa"/>
            <w:hideMark/>
          </w:tcPr>
          <w:p w14:paraId="32A0A948" w14:textId="77777777" w:rsidR="00FF1BB2" w:rsidRPr="00FF1BB2" w:rsidRDefault="00FF1BB2" w:rsidP="00FF1BB2">
            <w:pPr>
              <w:rPr>
                <w:rFonts w:eastAsia="Times New Roman" w:cs="Arial"/>
                <w:b w:val="0"/>
                <w:bCs w:val="0"/>
                <w:szCs w:val="22"/>
                <w:lang w:val="en-AU" w:eastAsia="en-AU"/>
              </w:rPr>
            </w:pPr>
            <w:r w:rsidRPr="00FF1BB2">
              <w:rPr>
                <w:rFonts w:eastAsia="Times New Roman" w:cs="Arial"/>
                <w:szCs w:val="22"/>
                <w:lang w:val="en-AU" w:eastAsia="en-AU"/>
              </w:rPr>
              <w:t xml:space="preserve">As at </w:t>
            </w:r>
            <w:r w:rsidRPr="00FF1BB2">
              <w:rPr>
                <w:rFonts w:eastAsia="Times New Roman" w:cs="Arial"/>
                <w:szCs w:val="22"/>
                <w:lang w:val="en-AU" w:eastAsia="en-AU"/>
              </w:rPr>
              <w:br/>
              <w:t>23 September 2022</w:t>
            </w:r>
          </w:p>
        </w:tc>
        <w:tc>
          <w:tcPr>
            <w:tcW w:w="1506" w:type="dxa"/>
            <w:noWrap/>
            <w:hideMark/>
          </w:tcPr>
          <w:p w14:paraId="588AFC2E" w14:textId="77777777" w:rsidR="00FF1BB2" w:rsidRPr="00FF1BB2" w:rsidRDefault="00FF1BB2" w:rsidP="00FF1BB2">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FF1BB2">
              <w:rPr>
                <w:rFonts w:eastAsia="Times New Roman" w:cs="Arial"/>
                <w:szCs w:val="22"/>
                <w:lang w:val="en-AU" w:eastAsia="en-AU"/>
              </w:rPr>
              <w:t>Actual</w:t>
            </w:r>
          </w:p>
        </w:tc>
        <w:tc>
          <w:tcPr>
            <w:tcW w:w="1881" w:type="dxa"/>
            <w:tcBorders>
              <w:right w:val="single" w:sz="4" w:space="0" w:color="auto"/>
            </w:tcBorders>
            <w:hideMark/>
          </w:tcPr>
          <w:p w14:paraId="66F9666C" w14:textId="77777777" w:rsidR="00FF1BB2" w:rsidRPr="00FF1BB2" w:rsidRDefault="00FF1BB2" w:rsidP="00FF1BB2">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FF1BB2">
              <w:rPr>
                <w:rFonts w:eastAsia="Times New Roman" w:cs="Arial"/>
                <w:szCs w:val="22"/>
                <w:lang w:val="en-AU" w:eastAsia="en-AU"/>
              </w:rPr>
              <w:t xml:space="preserve">Approved </w:t>
            </w:r>
            <w:r w:rsidRPr="00FF1BB2">
              <w:rPr>
                <w:rFonts w:eastAsia="Times New Roman" w:cs="Arial"/>
                <w:szCs w:val="22"/>
                <w:lang w:val="en-AU" w:eastAsia="en-AU"/>
              </w:rPr>
              <w:br/>
              <w:t xml:space="preserve">annual budget </w:t>
            </w:r>
            <w:r w:rsidRPr="00FF1BB2">
              <w:rPr>
                <w:rFonts w:eastAsia="Times New Roman" w:cs="Arial"/>
                <w:szCs w:val="22"/>
                <w:lang w:val="en-AU" w:eastAsia="en-AU"/>
              </w:rPr>
              <w:br/>
              <w:t>2022-23</w:t>
            </w:r>
          </w:p>
        </w:tc>
        <w:tc>
          <w:tcPr>
            <w:tcW w:w="1767" w:type="dxa"/>
            <w:tcBorders>
              <w:left w:val="single" w:sz="4" w:space="0" w:color="auto"/>
              <w:bottom w:val="single" w:sz="4" w:space="0" w:color="000000" w:themeColor="text1"/>
            </w:tcBorders>
            <w:hideMark/>
          </w:tcPr>
          <w:p w14:paraId="08DB24CA" w14:textId="77777777" w:rsidR="00FF1BB2" w:rsidRPr="00FF1BB2" w:rsidRDefault="00FF1BB2" w:rsidP="00FF1BB2">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FF1BB2">
              <w:rPr>
                <w:rFonts w:eastAsia="Times New Roman" w:cs="Arial"/>
                <w:szCs w:val="22"/>
                <w:lang w:val="en-AU" w:eastAsia="en-AU"/>
              </w:rPr>
              <w:t xml:space="preserve">Actual </w:t>
            </w:r>
            <w:r w:rsidRPr="00FF1BB2">
              <w:rPr>
                <w:rFonts w:eastAsia="Times New Roman" w:cs="Arial"/>
                <w:szCs w:val="22"/>
                <w:lang w:val="en-AU" w:eastAsia="en-AU"/>
              </w:rPr>
              <w:br/>
              <w:t>June 2022</w:t>
            </w:r>
          </w:p>
        </w:tc>
      </w:tr>
      <w:tr w:rsidR="00055629" w:rsidRPr="00FF1BB2" w14:paraId="5E5225DB" w14:textId="77B099E7" w:rsidTr="0005562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70B1DC13"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 </w:t>
            </w:r>
          </w:p>
        </w:tc>
        <w:tc>
          <w:tcPr>
            <w:tcW w:w="1506" w:type="dxa"/>
            <w:noWrap/>
            <w:hideMark/>
          </w:tcPr>
          <w:p w14:paraId="7254BECF"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F1BB2">
              <w:rPr>
                <w:rFonts w:eastAsia="Times New Roman" w:cs="Arial"/>
                <w:b/>
                <w:bCs/>
                <w:szCs w:val="22"/>
                <w:lang w:val="en-AU" w:eastAsia="en-AU"/>
              </w:rPr>
              <w:t>$000</w:t>
            </w:r>
          </w:p>
        </w:tc>
        <w:tc>
          <w:tcPr>
            <w:tcW w:w="1881" w:type="dxa"/>
            <w:tcBorders>
              <w:right w:val="nil"/>
            </w:tcBorders>
            <w:noWrap/>
            <w:hideMark/>
          </w:tcPr>
          <w:p w14:paraId="08C33C7B" w14:textId="77777777" w:rsidR="00055629" w:rsidRPr="00FF1BB2" w:rsidRDefault="00055629" w:rsidP="00055629">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F1BB2">
              <w:rPr>
                <w:rFonts w:eastAsia="Times New Roman" w:cs="Arial"/>
                <w:b/>
                <w:bCs/>
                <w:szCs w:val="22"/>
                <w:lang w:val="en-AU" w:eastAsia="en-AU"/>
              </w:rPr>
              <w:t>$000</w:t>
            </w:r>
          </w:p>
          <w:p w14:paraId="16F55F35" w14:textId="489DD5C9"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p>
        </w:tc>
        <w:tc>
          <w:tcPr>
            <w:tcW w:w="1767" w:type="dxa"/>
            <w:tcBorders>
              <w:left w:val="nil"/>
            </w:tcBorders>
          </w:tcPr>
          <w:p w14:paraId="4D0D3345" w14:textId="6A1F6432"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F1BB2">
              <w:rPr>
                <w:rFonts w:eastAsia="Times New Roman" w:cs="Arial"/>
                <w:b/>
                <w:bCs/>
                <w:szCs w:val="22"/>
                <w:lang w:val="en-AU" w:eastAsia="en-AU"/>
              </w:rPr>
              <w:t>$000</w:t>
            </w:r>
          </w:p>
        </w:tc>
      </w:tr>
      <w:tr w:rsidR="00055629" w:rsidRPr="00FF1BB2" w14:paraId="454115A5" w14:textId="77777777" w:rsidTr="00055629">
        <w:trPr>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124F766F" w14:textId="234E3454"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 </w:t>
            </w:r>
          </w:p>
        </w:tc>
        <w:tc>
          <w:tcPr>
            <w:tcW w:w="1506" w:type="dxa"/>
            <w:noWrap/>
            <w:hideMark/>
          </w:tcPr>
          <w:p w14:paraId="0D7F4530" w14:textId="77777777" w:rsidR="00055629" w:rsidRPr="00FF1BB2" w:rsidRDefault="00055629"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81" w:type="dxa"/>
            <w:noWrap/>
            <w:hideMark/>
          </w:tcPr>
          <w:p w14:paraId="668DF324" w14:textId="77777777" w:rsidR="00055629" w:rsidRPr="00FF1BB2" w:rsidRDefault="00055629"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767" w:type="dxa"/>
            <w:noWrap/>
            <w:hideMark/>
          </w:tcPr>
          <w:p w14:paraId="6EB58876" w14:textId="77777777" w:rsidR="00055629" w:rsidRPr="00FF1BB2" w:rsidRDefault="00055629"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FF1BB2" w:rsidRPr="00FF1BB2" w14:paraId="04C1653B" w14:textId="77777777" w:rsidTr="0005562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6CE841AA" w14:textId="77777777" w:rsidR="00FF1BB2" w:rsidRPr="00FF1BB2" w:rsidRDefault="00FF1BB2" w:rsidP="00FF1BB2">
            <w:pPr>
              <w:rPr>
                <w:rFonts w:eastAsia="Times New Roman" w:cs="Arial"/>
                <w:b w:val="0"/>
                <w:bCs w:val="0"/>
                <w:szCs w:val="22"/>
                <w:lang w:val="en-AU" w:eastAsia="en-AU"/>
              </w:rPr>
            </w:pPr>
            <w:r w:rsidRPr="00FF1BB2">
              <w:rPr>
                <w:rFonts w:eastAsia="Times New Roman" w:cs="Arial"/>
                <w:szCs w:val="22"/>
                <w:lang w:val="en-AU" w:eastAsia="en-AU"/>
              </w:rPr>
              <w:t>Assets</w:t>
            </w:r>
          </w:p>
        </w:tc>
        <w:tc>
          <w:tcPr>
            <w:tcW w:w="1506" w:type="dxa"/>
            <w:noWrap/>
            <w:hideMark/>
          </w:tcPr>
          <w:p w14:paraId="252C1816" w14:textId="77777777" w:rsidR="00FF1BB2" w:rsidRPr="00FF1BB2" w:rsidRDefault="00FF1BB2" w:rsidP="00FF1BB2">
            <w:pPr>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p>
        </w:tc>
        <w:tc>
          <w:tcPr>
            <w:tcW w:w="1881" w:type="dxa"/>
            <w:noWrap/>
            <w:hideMark/>
          </w:tcPr>
          <w:p w14:paraId="27A4CB40" w14:textId="77777777" w:rsidR="00FF1BB2" w:rsidRPr="00FF1BB2" w:rsidRDefault="00FF1BB2"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767" w:type="dxa"/>
            <w:noWrap/>
            <w:hideMark/>
          </w:tcPr>
          <w:p w14:paraId="7816261F" w14:textId="77777777" w:rsidR="00FF1BB2" w:rsidRPr="00FF1BB2" w:rsidRDefault="00FF1BB2"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r>
      <w:tr w:rsidR="00FF1BB2" w:rsidRPr="00FF1BB2" w14:paraId="51DC6D51" w14:textId="77777777" w:rsidTr="00055629">
        <w:trPr>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0A55468E" w14:textId="77777777" w:rsidR="00FF1BB2" w:rsidRPr="00FF1BB2" w:rsidRDefault="00FF1BB2" w:rsidP="00FF1BB2">
            <w:pPr>
              <w:rPr>
                <w:rFonts w:eastAsia="Times New Roman" w:cs="Arial"/>
                <w:szCs w:val="22"/>
                <w:lang w:val="en-AU" w:eastAsia="en-AU"/>
              </w:rPr>
            </w:pPr>
            <w:r w:rsidRPr="00FF1BB2">
              <w:rPr>
                <w:rFonts w:eastAsia="Times New Roman" w:cs="Arial"/>
                <w:szCs w:val="22"/>
                <w:lang w:val="en-AU" w:eastAsia="en-AU"/>
              </w:rPr>
              <w:t>Current assets</w:t>
            </w:r>
          </w:p>
        </w:tc>
        <w:tc>
          <w:tcPr>
            <w:tcW w:w="1506" w:type="dxa"/>
            <w:noWrap/>
            <w:hideMark/>
          </w:tcPr>
          <w:p w14:paraId="048058F5"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81" w:type="dxa"/>
            <w:noWrap/>
            <w:hideMark/>
          </w:tcPr>
          <w:p w14:paraId="4AE1584A"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767" w:type="dxa"/>
            <w:noWrap/>
            <w:hideMark/>
          </w:tcPr>
          <w:p w14:paraId="4204EBF2"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055629" w:rsidRPr="00FF1BB2" w14:paraId="63724E71" w14:textId="77777777" w:rsidTr="008A7B6D">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0062C7F0"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Cash and cash equivalents</w:t>
            </w:r>
          </w:p>
        </w:tc>
        <w:tc>
          <w:tcPr>
            <w:tcW w:w="1506" w:type="dxa"/>
            <w:noWrap/>
            <w:hideMark/>
          </w:tcPr>
          <w:p w14:paraId="689CE999"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645,520</w:t>
            </w:r>
          </w:p>
        </w:tc>
        <w:tc>
          <w:tcPr>
            <w:tcW w:w="1881" w:type="dxa"/>
            <w:noWrap/>
            <w:hideMark/>
          </w:tcPr>
          <w:p w14:paraId="66BA8140"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350,851</w:t>
            </w:r>
          </w:p>
        </w:tc>
        <w:tc>
          <w:tcPr>
            <w:tcW w:w="1767" w:type="dxa"/>
            <w:noWrap/>
            <w:hideMark/>
          </w:tcPr>
          <w:p w14:paraId="1BFD6758"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529,013</w:t>
            </w:r>
          </w:p>
        </w:tc>
      </w:tr>
      <w:tr w:rsidR="00055629" w:rsidRPr="00FF1BB2" w14:paraId="5AF35161" w14:textId="77777777" w:rsidTr="00BD13B2">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0F8C4E63"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Receivables</w:t>
            </w:r>
          </w:p>
        </w:tc>
        <w:tc>
          <w:tcPr>
            <w:tcW w:w="1506" w:type="dxa"/>
            <w:noWrap/>
            <w:hideMark/>
          </w:tcPr>
          <w:p w14:paraId="14A7D3D4"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86,963</w:t>
            </w:r>
          </w:p>
        </w:tc>
        <w:tc>
          <w:tcPr>
            <w:tcW w:w="1881" w:type="dxa"/>
            <w:noWrap/>
            <w:hideMark/>
          </w:tcPr>
          <w:p w14:paraId="057637C6"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84,505</w:t>
            </w:r>
          </w:p>
        </w:tc>
        <w:tc>
          <w:tcPr>
            <w:tcW w:w="1767" w:type="dxa"/>
            <w:noWrap/>
            <w:hideMark/>
          </w:tcPr>
          <w:p w14:paraId="23464C8C"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152,182</w:t>
            </w:r>
          </w:p>
        </w:tc>
      </w:tr>
      <w:tr w:rsidR="00055629" w:rsidRPr="00FF1BB2" w14:paraId="6ED48CF1" w14:textId="77777777" w:rsidTr="000E46B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7EC04A1E"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Inventories</w:t>
            </w:r>
          </w:p>
        </w:tc>
        <w:tc>
          <w:tcPr>
            <w:tcW w:w="1506" w:type="dxa"/>
            <w:noWrap/>
            <w:hideMark/>
          </w:tcPr>
          <w:p w14:paraId="31E85257"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19,043</w:t>
            </w:r>
          </w:p>
        </w:tc>
        <w:tc>
          <w:tcPr>
            <w:tcW w:w="1881" w:type="dxa"/>
            <w:noWrap/>
            <w:hideMark/>
          </w:tcPr>
          <w:p w14:paraId="38ABADBF"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19,841</w:t>
            </w:r>
          </w:p>
        </w:tc>
        <w:tc>
          <w:tcPr>
            <w:tcW w:w="1767" w:type="dxa"/>
            <w:noWrap/>
            <w:hideMark/>
          </w:tcPr>
          <w:p w14:paraId="2D353F92"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19,137</w:t>
            </w:r>
          </w:p>
        </w:tc>
      </w:tr>
      <w:tr w:rsidR="00055629" w:rsidRPr="00FF1BB2" w14:paraId="6BBCF083" w14:textId="77777777" w:rsidTr="00167460">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2909243F"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Other</w:t>
            </w:r>
          </w:p>
        </w:tc>
        <w:tc>
          <w:tcPr>
            <w:tcW w:w="1506" w:type="dxa"/>
            <w:noWrap/>
            <w:hideMark/>
          </w:tcPr>
          <w:p w14:paraId="5EC04B3E"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140,782</w:t>
            </w:r>
          </w:p>
        </w:tc>
        <w:tc>
          <w:tcPr>
            <w:tcW w:w="1881" w:type="dxa"/>
            <w:noWrap/>
            <w:hideMark/>
          </w:tcPr>
          <w:p w14:paraId="121378DF"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120,171</w:t>
            </w:r>
          </w:p>
        </w:tc>
        <w:tc>
          <w:tcPr>
            <w:tcW w:w="1767" w:type="dxa"/>
            <w:noWrap/>
            <w:hideMark/>
          </w:tcPr>
          <w:p w14:paraId="1010B358"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153,585</w:t>
            </w:r>
          </w:p>
        </w:tc>
      </w:tr>
      <w:tr w:rsidR="00055629" w:rsidRPr="00FF1BB2" w14:paraId="29BB050B" w14:textId="77777777" w:rsidTr="00CA1665">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6F944B99"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Assets classified as held for sale</w:t>
            </w:r>
          </w:p>
        </w:tc>
        <w:tc>
          <w:tcPr>
            <w:tcW w:w="1506" w:type="dxa"/>
            <w:noWrap/>
            <w:hideMark/>
          </w:tcPr>
          <w:p w14:paraId="27252020"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2,817</w:t>
            </w:r>
          </w:p>
        </w:tc>
        <w:tc>
          <w:tcPr>
            <w:tcW w:w="1881" w:type="dxa"/>
            <w:noWrap/>
            <w:hideMark/>
          </w:tcPr>
          <w:p w14:paraId="564E22B2"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w:t>
            </w:r>
          </w:p>
        </w:tc>
        <w:tc>
          <w:tcPr>
            <w:tcW w:w="1767" w:type="dxa"/>
            <w:noWrap/>
            <w:hideMark/>
          </w:tcPr>
          <w:p w14:paraId="0E95F3EA"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2,817</w:t>
            </w:r>
          </w:p>
        </w:tc>
      </w:tr>
      <w:tr w:rsidR="00055629" w:rsidRPr="00FF1BB2" w14:paraId="26E239F2" w14:textId="77777777" w:rsidTr="001C0B26">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23078AA3" w14:textId="77777777" w:rsidR="00055629" w:rsidRPr="00FF1BB2" w:rsidRDefault="00055629" w:rsidP="00FF1BB2">
            <w:pPr>
              <w:rPr>
                <w:rFonts w:eastAsia="Times New Roman" w:cs="Arial"/>
                <w:szCs w:val="22"/>
                <w:lang w:val="en-AU" w:eastAsia="en-AU"/>
              </w:rPr>
            </w:pPr>
          </w:p>
        </w:tc>
        <w:tc>
          <w:tcPr>
            <w:tcW w:w="1506" w:type="dxa"/>
            <w:noWrap/>
            <w:hideMark/>
          </w:tcPr>
          <w:p w14:paraId="735E6395" w14:textId="77777777" w:rsidR="00055629" w:rsidRPr="00FB6B0A"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895,125</w:t>
            </w:r>
          </w:p>
        </w:tc>
        <w:tc>
          <w:tcPr>
            <w:tcW w:w="1881" w:type="dxa"/>
            <w:noWrap/>
            <w:hideMark/>
          </w:tcPr>
          <w:p w14:paraId="071F3934" w14:textId="77777777" w:rsidR="00055629" w:rsidRPr="00FB6B0A"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575,368</w:t>
            </w:r>
          </w:p>
        </w:tc>
        <w:tc>
          <w:tcPr>
            <w:tcW w:w="1767" w:type="dxa"/>
            <w:noWrap/>
            <w:hideMark/>
          </w:tcPr>
          <w:p w14:paraId="53E22CEC" w14:textId="77777777" w:rsidR="00055629" w:rsidRPr="00FB6B0A"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856,733</w:t>
            </w:r>
          </w:p>
        </w:tc>
      </w:tr>
      <w:tr w:rsidR="00055629" w:rsidRPr="00FF1BB2" w14:paraId="0F144EBC" w14:textId="77777777" w:rsidTr="007C4FF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5490BAFF" w14:textId="77777777" w:rsidR="00055629" w:rsidRPr="00FF1BB2" w:rsidRDefault="00055629" w:rsidP="00FF1BB2">
            <w:pPr>
              <w:rPr>
                <w:rFonts w:eastAsia="Times New Roman" w:cs="Arial"/>
                <w:szCs w:val="22"/>
                <w:lang w:val="en-AU" w:eastAsia="en-AU"/>
              </w:rPr>
            </w:pPr>
          </w:p>
        </w:tc>
        <w:tc>
          <w:tcPr>
            <w:tcW w:w="1506" w:type="dxa"/>
            <w:noWrap/>
            <w:hideMark/>
          </w:tcPr>
          <w:p w14:paraId="4F62B6B5" w14:textId="77777777" w:rsidR="00055629" w:rsidRPr="00FF1BB2" w:rsidRDefault="00055629"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881" w:type="dxa"/>
            <w:noWrap/>
            <w:hideMark/>
          </w:tcPr>
          <w:p w14:paraId="19081114" w14:textId="77777777" w:rsidR="00055629" w:rsidRPr="00FF1BB2" w:rsidRDefault="00055629"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767" w:type="dxa"/>
            <w:noWrap/>
            <w:hideMark/>
          </w:tcPr>
          <w:p w14:paraId="6583DF24" w14:textId="77777777" w:rsidR="00055629" w:rsidRPr="00FF1BB2" w:rsidRDefault="00055629"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r>
      <w:tr w:rsidR="00FF1BB2" w:rsidRPr="00FF1BB2" w14:paraId="088E4092" w14:textId="77777777" w:rsidTr="00055629">
        <w:trPr>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191D2FEE" w14:textId="77777777" w:rsidR="00FF1BB2" w:rsidRPr="00FF1BB2" w:rsidRDefault="00FF1BB2" w:rsidP="00FF1BB2">
            <w:pPr>
              <w:rPr>
                <w:rFonts w:eastAsia="Times New Roman" w:cs="Arial"/>
                <w:szCs w:val="22"/>
                <w:lang w:val="en-AU" w:eastAsia="en-AU"/>
              </w:rPr>
            </w:pPr>
            <w:r w:rsidRPr="00FF1BB2">
              <w:rPr>
                <w:rFonts w:eastAsia="Times New Roman" w:cs="Arial"/>
                <w:szCs w:val="22"/>
                <w:lang w:val="en-AU" w:eastAsia="en-AU"/>
              </w:rPr>
              <w:t>Non-current assets</w:t>
            </w:r>
          </w:p>
        </w:tc>
        <w:tc>
          <w:tcPr>
            <w:tcW w:w="1506" w:type="dxa"/>
            <w:noWrap/>
            <w:hideMark/>
          </w:tcPr>
          <w:p w14:paraId="0FC488B1"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81" w:type="dxa"/>
            <w:noWrap/>
            <w:hideMark/>
          </w:tcPr>
          <w:p w14:paraId="01BCAFDE"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767" w:type="dxa"/>
            <w:noWrap/>
            <w:hideMark/>
          </w:tcPr>
          <w:p w14:paraId="3EB388A7"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055629" w:rsidRPr="00FF1BB2" w14:paraId="3C3668D9" w14:textId="77777777" w:rsidTr="00434D76">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165C14D5"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Investment in associate</w:t>
            </w:r>
          </w:p>
        </w:tc>
        <w:tc>
          <w:tcPr>
            <w:tcW w:w="1506" w:type="dxa"/>
            <w:noWrap/>
            <w:hideMark/>
          </w:tcPr>
          <w:p w14:paraId="6597FD14"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2,158,143</w:t>
            </w:r>
          </w:p>
        </w:tc>
        <w:tc>
          <w:tcPr>
            <w:tcW w:w="1881" w:type="dxa"/>
            <w:noWrap/>
            <w:hideMark/>
          </w:tcPr>
          <w:p w14:paraId="12D4CFF8"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2,158,143</w:t>
            </w:r>
          </w:p>
        </w:tc>
        <w:tc>
          <w:tcPr>
            <w:tcW w:w="1767" w:type="dxa"/>
            <w:noWrap/>
            <w:hideMark/>
          </w:tcPr>
          <w:p w14:paraId="093B1F8F"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2,158,143</w:t>
            </w:r>
          </w:p>
        </w:tc>
      </w:tr>
      <w:tr w:rsidR="00055629" w:rsidRPr="00FF1BB2" w14:paraId="2524B001" w14:textId="77777777" w:rsidTr="00CA1BA8">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3D3B4701"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Other investments</w:t>
            </w:r>
          </w:p>
        </w:tc>
        <w:tc>
          <w:tcPr>
            <w:tcW w:w="1506" w:type="dxa"/>
            <w:noWrap/>
            <w:hideMark/>
          </w:tcPr>
          <w:p w14:paraId="261FD5B2"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201,223</w:t>
            </w:r>
          </w:p>
        </w:tc>
        <w:tc>
          <w:tcPr>
            <w:tcW w:w="1881" w:type="dxa"/>
            <w:noWrap/>
            <w:hideMark/>
          </w:tcPr>
          <w:p w14:paraId="2E55C975"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202,043</w:t>
            </w:r>
          </w:p>
        </w:tc>
        <w:tc>
          <w:tcPr>
            <w:tcW w:w="1767" w:type="dxa"/>
            <w:noWrap/>
            <w:hideMark/>
          </w:tcPr>
          <w:p w14:paraId="2C1E6565"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201,305</w:t>
            </w:r>
          </w:p>
        </w:tc>
      </w:tr>
      <w:tr w:rsidR="00055629" w:rsidRPr="00FF1BB2" w14:paraId="6D01A983" w14:textId="77777777" w:rsidTr="0018243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6B49DB0B"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Derivative financial instruments</w:t>
            </w:r>
          </w:p>
        </w:tc>
        <w:tc>
          <w:tcPr>
            <w:tcW w:w="1506" w:type="dxa"/>
            <w:noWrap/>
            <w:hideMark/>
          </w:tcPr>
          <w:p w14:paraId="0B6535F4"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5,050</w:t>
            </w:r>
          </w:p>
        </w:tc>
        <w:tc>
          <w:tcPr>
            <w:tcW w:w="1881" w:type="dxa"/>
            <w:noWrap/>
            <w:hideMark/>
          </w:tcPr>
          <w:p w14:paraId="44D375FB"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w:t>
            </w:r>
          </w:p>
        </w:tc>
        <w:tc>
          <w:tcPr>
            <w:tcW w:w="1767" w:type="dxa"/>
            <w:noWrap/>
            <w:hideMark/>
          </w:tcPr>
          <w:p w14:paraId="7F61FBB1"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5,949</w:t>
            </w:r>
          </w:p>
        </w:tc>
      </w:tr>
      <w:tr w:rsidR="00055629" w:rsidRPr="00FF1BB2" w14:paraId="31D6E39C" w14:textId="77777777" w:rsidTr="00493E02">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336BFD99"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Property, plant and equipment</w:t>
            </w:r>
          </w:p>
        </w:tc>
        <w:tc>
          <w:tcPr>
            <w:tcW w:w="1506" w:type="dxa"/>
            <w:noWrap/>
            <w:hideMark/>
          </w:tcPr>
          <w:p w14:paraId="50ECB883"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29,420,068</w:t>
            </w:r>
          </w:p>
        </w:tc>
        <w:tc>
          <w:tcPr>
            <w:tcW w:w="1881" w:type="dxa"/>
            <w:noWrap/>
            <w:hideMark/>
          </w:tcPr>
          <w:p w14:paraId="246F62F1"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30,815,016</w:t>
            </w:r>
          </w:p>
        </w:tc>
        <w:tc>
          <w:tcPr>
            <w:tcW w:w="1767" w:type="dxa"/>
            <w:noWrap/>
            <w:hideMark/>
          </w:tcPr>
          <w:p w14:paraId="603379DC"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29,285,413</w:t>
            </w:r>
          </w:p>
        </w:tc>
      </w:tr>
      <w:tr w:rsidR="00055629" w:rsidRPr="00FF1BB2" w14:paraId="3B1546A5" w14:textId="77777777" w:rsidTr="00531143">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7A96D2E2"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 xml:space="preserve">Intangibles </w:t>
            </w:r>
          </w:p>
        </w:tc>
        <w:tc>
          <w:tcPr>
            <w:tcW w:w="1506" w:type="dxa"/>
            <w:noWrap/>
            <w:hideMark/>
          </w:tcPr>
          <w:p w14:paraId="0725137A"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162,780</w:t>
            </w:r>
          </w:p>
        </w:tc>
        <w:tc>
          <w:tcPr>
            <w:tcW w:w="1881" w:type="dxa"/>
            <w:noWrap/>
            <w:hideMark/>
          </w:tcPr>
          <w:p w14:paraId="3468EE09"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143,329</w:t>
            </w:r>
          </w:p>
        </w:tc>
        <w:tc>
          <w:tcPr>
            <w:tcW w:w="1767" w:type="dxa"/>
            <w:noWrap/>
            <w:hideMark/>
          </w:tcPr>
          <w:p w14:paraId="3880AA62"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168,586</w:t>
            </w:r>
          </w:p>
        </w:tc>
      </w:tr>
      <w:tr w:rsidR="00055629" w:rsidRPr="00FF1BB2" w14:paraId="36B82C65" w14:textId="77777777" w:rsidTr="003E0913">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5EF3BC98"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Lease right of use assets</w:t>
            </w:r>
          </w:p>
        </w:tc>
        <w:tc>
          <w:tcPr>
            <w:tcW w:w="1506" w:type="dxa"/>
            <w:noWrap/>
            <w:hideMark/>
          </w:tcPr>
          <w:p w14:paraId="4796EFD4"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417,503</w:t>
            </w:r>
          </w:p>
        </w:tc>
        <w:tc>
          <w:tcPr>
            <w:tcW w:w="1881" w:type="dxa"/>
            <w:noWrap/>
            <w:hideMark/>
          </w:tcPr>
          <w:p w14:paraId="047B8557"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385,783</w:t>
            </w:r>
          </w:p>
        </w:tc>
        <w:tc>
          <w:tcPr>
            <w:tcW w:w="1767" w:type="dxa"/>
            <w:noWrap/>
            <w:hideMark/>
          </w:tcPr>
          <w:p w14:paraId="11B70E9C"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433,668</w:t>
            </w:r>
          </w:p>
        </w:tc>
      </w:tr>
      <w:tr w:rsidR="00055629" w:rsidRPr="00FF1BB2" w14:paraId="403A8A97" w14:textId="77777777" w:rsidTr="0025759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60261B6E"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Superannuation defined benefit plan</w:t>
            </w:r>
          </w:p>
        </w:tc>
        <w:tc>
          <w:tcPr>
            <w:tcW w:w="1506" w:type="dxa"/>
            <w:noWrap/>
            <w:hideMark/>
          </w:tcPr>
          <w:p w14:paraId="30F7246D"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21,086</w:t>
            </w:r>
          </w:p>
        </w:tc>
        <w:tc>
          <w:tcPr>
            <w:tcW w:w="1881" w:type="dxa"/>
            <w:noWrap/>
            <w:hideMark/>
          </w:tcPr>
          <w:p w14:paraId="143D3ECB"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21,086</w:t>
            </w:r>
          </w:p>
        </w:tc>
        <w:tc>
          <w:tcPr>
            <w:tcW w:w="1767" w:type="dxa"/>
            <w:noWrap/>
            <w:hideMark/>
          </w:tcPr>
          <w:p w14:paraId="0C9EB962"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21,086</w:t>
            </w:r>
          </w:p>
        </w:tc>
      </w:tr>
      <w:tr w:rsidR="00055629" w:rsidRPr="00FF1BB2" w14:paraId="74E90665" w14:textId="77777777" w:rsidTr="001A3D61">
        <w:trPr>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57864442" w14:textId="77777777" w:rsidR="00055629" w:rsidRPr="00FF1BB2" w:rsidRDefault="00055629" w:rsidP="00FF1BB2">
            <w:pPr>
              <w:rPr>
                <w:rFonts w:eastAsia="Times New Roman" w:cs="Arial"/>
                <w:szCs w:val="22"/>
                <w:lang w:val="en-AU" w:eastAsia="en-AU"/>
              </w:rPr>
            </w:pPr>
          </w:p>
        </w:tc>
        <w:tc>
          <w:tcPr>
            <w:tcW w:w="1506" w:type="dxa"/>
            <w:noWrap/>
            <w:hideMark/>
          </w:tcPr>
          <w:p w14:paraId="54F56F7E" w14:textId="77777777" w:rsidR="00055629" w:rsidRPr="00FB6B0A"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32,385,853</w:t>
            </w:r>
          </w:p>
        </w:tc>
        <w:tc>
          <w:tcPr>
            <w:tcW w:w="1881" w:type="dxa"/>
            <w:noWrap/>
            <w:hideMark/>
          </w:tcPr>
          <w:p w14:paraId="66C3149B" w14:textId="77777777" w:rsidR="00055629" w:rsidRPr="00FB6B0A"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33,725,400</w:t>
            </w:r>
          </w:p>
        </w:tc>
        <w:tc>
          <w:tcPr>
            <w:tcW w:w="1767" w:type="dxa"/>
            <w:noWrap/>
            <w:hideMark/>
          </w:tcPr>
          <w:p w14:paraId="64FA645C" w14:textId="77777777" w:rsidR="00055629" w:rsidRPr="00FB6B0A"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32,274,150</w:t>
            </w:r>
          </w:p>
        </w:tc>
      </w:tr>
      <w:tr w:rsidR="00FF1BB2" w:rsidRPr="00FF1BB2" w14:paraId="61DE9CDF" w14:textId="77777777" w:rsidTr="0005562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2AA73CE4" w14:textId="77777777" w:rsidR="00FF1BB2" w:rsidRPr="00FF1BB2" w:rsidRDefault="00FF1BB2" w:rsidP="00FF1BB2">
            <w:pPr>
              <w:rPr>
                <w:rFonts w:eastAsia="Times New Roman" w:cs="Arial"/>
                <w:b w:val="0"/>
                <w:bCs w:val="0"/>
                <w:szCs w:val="22"/>
                <w:lang w:val="en-AU" w:eastAsia="en-AU"/>
              </w:rPr>
            </w:pPr>
            <w:r w:rsidRPr="00FF1BB2">
              <w:rPr>
                <w:rFonts w:eastAsia="Times New Roman" w:cs="Arial"/>
                <w:szCs w:val="22"/>
                <w:lang w:val="en-AU" w:eastAsia="en-AU"/>
              </w:rPr>
              <w:t>Total assets</w:t>
            </w:r>
          </w:p>
        </w:tc>
        <w:tc>
          <w:tcPr>
            <w:tcW w:w="1506" w:type="dxa"/>
            <w:noWrap/>
            <w:hideMark/>
          </w:tcPr>
          <w:p w14:paraId="6CD7B564" w14:textId="77777777" w:rsidR="00FF1BB2" w:rsidRPr="00FB6B0A"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33,280,978</w:t>
            </w:r>
          </w:p>
        </w:tc>
        <w:tc>
          <w:tcPr>
            <w:tcW w:w="1881" w:type="dxa"/>
            <w:noWrap/>
            <w:hideMark/>
          </w:tcPr>
          <w:p w14:paraId="2A56B0DF" w14:textId="77777777" w:rsidR="00FF1BB2" w:rsidRPr="00FB6B0A"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34,300,768</w:t>
            </w:r>
          </w:p>
        </w:tc>
        <w:tc>
          <w:tcPr>
            <w:tcW w:w="1767" w:type="dxa"/>
            <w:noWrap/>
            <w:hideMark/>
          </w:tcPr>
          <w:p w14:paraId="5ACC1215" w14:textId="77777777" w:rsidR="00FF1BB2" w:rsidRPr="00FB6B0A"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33,130,883</w:t>
            </w:r>
          </w:p>
        </w:tc>
      </w:tr>
      <w:tr w:rsidR="00055629" w:rsidRPr="00FF1BB2" w14:paraId="09DCC703" w14:textId="77777777" w:rsidTr="006F7A6C">
        <w:trPr>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72D135C6" w14:textId="77777777" w:rsidR="00055629" w:rsidRPr="00FF1BB2" w:rsidRDefault="00055629" w:rsidP="00FF1BB2">
            <w:pPr>
              <w:rPr>
                <w:rFonts w:eastAsia="Times New Roman" w:cs="Arial"/>
                <w:szCs w:val="22"/>
                <w:lang w:val="en-AU" w:eastAsia="en-AU"/>
              </w:rPr>
            </w:pPr>
          </w:p>
        </w:tc>
        <w:tc>
          <w:tcPr>
            <w:tcW w:w="1506" w:type="dxa"/>
            <w:noWrap/>
            <w:hideMark/>
          </w:tcPr>
          <w:p w14:paraId="5F08CF75" w14:textId="77777777" w:rsidR="00055629" w:rsidRPr="00FF1BB2" w:rsidRDefault="00055629"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81" w:type="dxa"/>
            <w:noWrap/>
            <w:hideMark/>
          </w:tcPr>
          <w:p w14:paraId="700BB64F" w14:textId="77777777" w:rsidR="00055629" w:rsidRPr="00FF1BB2" w:rsidRDefault="00055629"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767" w:type="dxa"/>
            <w:noWrap/>
            <w:hideMark/>
          </w:tcPr>
          <w:p w14:paraId="0C5DE9BE" w14:textId="77777777" w:rsidR="00055629" w:rsidRPr="00FF1BB2" w:rsidRDefault="00055629"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FF1BB2" w:rsidRPr="00FF1BB2" w14:paraId="63FDBB7E" w14:textId="77777777" w:rsidTr="0005562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75CB7F46" w14:textId="77777777" w:rsidR="00FF1BB2" w:rsidRPr="00FF1BB2" w:rsidRDefault="00FF1BB2" w:rsidP="00FF1BB2">
            <w:pPr>
              <w:rPr>
                <w:rFonts w:eastAsia="Times New Roman" w:cs="Arial"/>
                <w:b w:val="0"/>
                <w:bCs w:val="0"/>
                <w:szCs w:val="22"/>
                <w:lang w:val="en-AU" w:eastAsia="en-AU"/>
              </w:rPr>
            </w:pPr>
            <w:r w:rsidRPr="00FF1BB2">
              <w:rPr>
                <w:rFonts w:eastAsia="Times New Roman" w:cs="Arial"/>
                <w:szCs w:val="22"/>
                <w:lang w:val="en-AU" w:eastAsia="en-AU"/>
              </w:rPr>
              <w:t>Liabilities</w:t>
            </w:r>
          </w:p>
        </w:tc>
        <w:tc>
          <w:tcPr>
            <w:tcW w:w="1506" w:type="dxa"/>
            <w:noWrap/>
            <w:hideMark/>
          </w:tcPr>
          <w:p w14:paraId="1ADEA1AF" w14:textId="77777777" w:rsidR="00FF1BB2" w:rsidRPr="00FF1BB2" w:rsidRDefault="00FF1BB2" w:rsidP="00FF1BB2">
            <w:pPr>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p>
        </w:tc>
        <w:tc>
          <w:tcPr>
            <w:tcW w:w="1881" w:type="dxa"/>
            <w:noWrap/>
            <w:hideMark/>
          </w:tcPr>
          <w:p w14:paraId="69ED76C9" w14:textId="77777777" w:rsidR="00FF1BB2" w:rsidRPr="00FF1BB2" w:rsidRDefault="00FF1BB2"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767" w:type="dxa"/>
            <w:noWrap/>
            <w:hideMark/>
          </w:tcPr>
          <w:p w14:paraId="55F2F068" w14:textId="77777777" w:rsidR="00FF1BB2" w:rsidRPr="00FF1BB2" w:rsidRDefault="00FF1BB2"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r>
      <w:tr w:rsidR="00FF1BB2" w:rsidRPr="00FF1BB2" w14:paraId="420CB866" w14:textId="77777777" w:rsidTr="00055629">
        <w:trPr>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180EB854" w14:textId="77777777" w:rsidR="00FF1BB2" w:rsidRPr="00FF1BB2" w:rsidRDefault="00FF1BB2" w:rsidP="00FF1BB2">
            <w:pPr>
              <w:rPr>
                <w:rFonts w:eastAsia="Times New Roman" w:cs="Arial"/>
                <w:szCs w:val="22"/>
                <w:lang w:val="en-AU" w:eastAsia="en-AU"/>
              </w:rPr>
            </w:pPr>
            <w:r w:rsidRPr="00FF1BB2">
              <w:rPr>
                <w:rFonts w:eastAsia="Times New Roman" w:cs="Arial"/>
                <w:szCs w:val="22"/>
                <w:lang w:val="en-AU" w:eastAsia="en-AU"/>
              </w:rPr>
              <w:t>Current liabilities</w:t>
            </w:r>
          </w:p>
        </w:tc>
        <w:tc>
          <w:tcPr>
            <w:tcW w:w="1506" w:type="dxa"/>
            <w:noWrap/>
            <w:hideMark/>
          </w:tcPr>
          <w:p w14:paraId="07C2230B"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81" w:type="dxa"/>
            <w:noWrap/>
            <w:hideMark/>
          </w:tcPr>
          <w:p w14:paraId="3DC71D23"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767" w:type="dxa"/>
            <w:noWrap/>
            <w:hideMark/>
          </w:tcPr>
          <w:p w14:paraId="1AB58DC7"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055629" w:rsidRPr="00FF1BB2" w14:paraId="348CAC19" w14:textId="77777777" w:rsidTr="00A43F7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2B479DD8"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Payables</w:t>
            </w:r>
          </w:p>
        </w:tc>
        <w:tc>
          <w:tcPr>
            <w:tcW w:w="1506" w:type="dxa"/>
            <w:noWrap/>
            <w:hideMark/>
          </w:tcPr>
          <w:p w14:paraId="757F3C36"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434,886</w:t>
            </w:r>
          </w:p>
        </w:tc>
        <w:tc>
          <w:tcPr>
            <w:tcW w:w="1881" w:type="dxa"/>
            <w:noWrap/>
            <w:hideMark/>
          </w:tcPr>
          <w:p w14:paraId="2D35CE2B"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421,783</w:t>
            </w:r>
          </w:p>
        </w:tc>
        <w:tc>
          <w:tcPr>
            <w:tcW w:w="1767" w:type="dxa"/>
            <w:noWrap/>
            <w:hideMark/>
          </w:tcPr>
          <w:p w14:paraId="0433067D"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305,264</w:t>
            </w:r>
          </w:p>
        </w:tc>
      </w:tr>
      <w:tr w:rsidR="00055629" w:rsidRPr="00FF1BB2" w14:paraId="0C6A29C6" w14:textId="77777777" w:rsidTr="00A32D9A">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564249E8"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Other financial liabilities</w:t>
            </w:r>
          </w:p>
        </w:tc>
        <w:tc>
          <w:tcPr>
            <w:tcW w:w="1506" w:type="dxa"/>
            <w:noWrap/>
            <w:hideMark/>
          </w:tcPr>
          <w:p w14:paraId="481A3D32"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88,315</w:t>
            </w:r>
          </w:p>
        </w:tc>
        <w:tc>
          <w:tcPr>
            <w:tcW w:w="1881" w:type="dxa"/>
            <w:noWrap/>
            <w:hideMark/>
          </w:tcPr>
          <w:p w14:paraId="31AA80EE"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103,509</w:t>
            </w:r>
          </w:p>
        </w:tc>
        <w:tc>
          <w:tcPr>
            <w:tcW w:w="1767" w:type="dxa"/>
            <w:noWrap/>
            <w:hideMark/>
          </w:tcPr>
          <w:p w14:paraId="7520F529"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88,315</w:t>
            </w:r>
          </w:p>
        </w:tc>
      </w:tr>
      <w:tr w:rsidR="00055629" w:rsidRPr="00FF1BB2" w14:paraId="55614225" w14:textId="77777777" w:rsidTr="00705186">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786E3024"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Lease liabilities</w:t>
            </w:r>
          </w:p>
        </w:tc>
        <w:tc>
          <w:tcPr>
            <w:tcW w:w="1506" w:type="dxa"/>
            <w:noWrap/>
            <w:hideMark/>
          </w:tcPr>
          <w:p w14:paraId="3639DC06"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82,663</w:t>
            </w:r>
          </w:p>
        </w:tc>
        <w:tc>
          <w:tcPr>
            <w:tcW w:w="1881" w:type="dxa"/>
            <w:noWrap/>
            <w:hideMark/>
          </w:tcPr>
          <w:p w14:paraId="64BAB143"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88,718</w:t>
            </w:r>
          </w:p>
        </w:tc>
        <w:tc>
          <w:tcPr>
            <w:tcW w:w="1767" w:type="dxa"/>
            <w:noWrap/>
            <w:hideMark/>
          </w:tcPr>
          <w:p w14:paraId="692F446F"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82,596</w:t>
            </w:r>
          </w:p>
        </w:tc>
      </w:tr>
      <w:tr w:rsidR="00055629" w:rsidRPr="00FF1BB2" w14:paraId="5AB9016A" w14:textId="77777777" w:rsidTr="000B0F96">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430BA59C"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Provisions</w:t>
            </w:r>
          </w:p>
        </w:tc>
        <w:tc>
          <w:tcPr>
            <w:tcW w:w="1506" w:type="dxa"/>
            <w:noWrap/>
            <w:hideMark/>
          </w:tcPr>
          <w:p w14:paraId="30DD2D16"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232,347</w:t>
            </w:r>
          </w:p>
        </w:tc>
        <w:tc>
          <w:tcPr>
            <w:tcW w:w="1881" w:type="dxa"/>
            <w:noWrap/>
            <w:hideMark/>
          </w:tcPr>
          <w:p w14:paraId="30176F8C"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227,146</w:t>
            </w:r>
          </w:p>
        </w:tc>
        <w:tc>
          <w:tcPr>
            <w:tcW w:w="1767" w:type="dxa"/>
            <w:noWrap/>
            <w:hideMark/>
          </w:tcPr>
          <w:p w14:paraId="0E1F1D70" w14:textId="23B6DCC4"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235,52</w:t>
            </w:r>
            <w:r>
              <w:rPr>
                <w:rFonts w:eastAsia="Times New Roman" w:cs="Arial"/>
                <w:szCs w:val="22"/>
                <w:lang w:val="en-AU" w:eastAsia="en-AU"/>
              </w:rPr>
              <w:t>6</w:t>
            </w:r>
          </w:p>
        </w:tc>
      </w:tr>
      <w:tr w:rsidR="00055629" w:rsidRPr="00FF1BB2" w14:paraId="78DB219F" w14:textId="77777777" w:rsidTr="00102AC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4C7EEE51"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Service concession liabilities</w:t>
            </w:r>
          </w:p>
        </w:tc>
        <w:tc>
          <w:tcPr>
            <w:tcW w:w="1506" w:type="dxa"/>
            <w:noWrap/>
            <w:hideMark/>
          </w:tcPr>
          <w:p w14:paraId="3C897B48"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59,595</w:t>
            </w:r>
          </w:p>
        </w:tc>
        <w:tc>
          <w:tcPr>
            <w:tcW w:w="1881" w:type="dxa"/>
            <w:noWrap/>
            <w:hideMark/>
          </w:tcPr>
          <w:p w14:paraId="014B5B8B"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60,147</w:t>
            </w:r>
          </w:p>
        </w:tc>
        <w:tc>
          <w:tcPr>
            <w:tcW w:w="1767" w:type="dxa"/>
            <w:noWrap/>
            <w:hideMark/>
          </w:tcPr>
          <w:p w14:paraId="43038391"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59,595</w:t>
            </w:r>
          </w:p>
        </w:tc>
      </w:tr>
      <w:tr w:rsidR="00055629" w:rsidRPr="00FF1BB2" w14:paraId="2D3547CE" w14:textId="77777777" w:rsidTr="00C11F72">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39EF5E3C"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Other</w:t>
            </w:r>
          </w:p>
        </w:tc>
        <w:tc>
          <w:tcPr>
            <w:tcW w:w="1506" w:type="dxa"/>
            <w:noWrap/>
            <w:hideMark/>
          </w:tcPr>
          <w:p w14:paraId="2EFF038E"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161,653</w:t>
            </w:r>
          </w:p>
        </w:tc>
        <w:tc>
          <w:tcPr>
            <w:tcW w:w="1881" w:type="dxa"/>
            <w:noWrap/>
            <w:hideMark/>
          </w:tcPr>
          <w:p w14:paraId="08383DAC"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121,081</w:t>
            </w:r>
          </w:p>
        </w:tc>
        <w:tc>
          <w:tcPr>
            <w:tcW w:w="1767" w:type="dxa"/>
            <w:noWrap/>
            <w:hideMark/>
          </w:tcPr>
          <w:p w14:paraId="70A2B637"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121,081</w:t>
            </w:r>
          </w:p>
        </w:tc>
      </w:tr>
      <w:tr w:rsidR="00055629" w:rsidRPr="00FF1BB2" w14:paraId="524CF236" w14:textId="77777777" w:rsidTr="00B3222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410BFE63" w14:textId="77777777" w:rsidR="00055629" w:rsidRPr="00FF1BB2" w:rsidRDefault="00055629" w:rsidP="00FF1BB2">
            <w:pPr>
              <w:rPr>
                <w:rFonts w:eastAsia="Times New Roman" w:cs="Arial"/>
                <w:szCs w:val="22"/>
                <w:lang w:val="en-AU" w:eastAsia="en-AU"/>
              </w:rPr>
            </w:pPr>
          </w:p>
        </w:tc>
        <w:tc>
          <w:tcPr>
            <w:tcW w:w="1506" w:type="dxa"/>
            <w:noWrap/>
            <w:hideMark/>
          </w:tcPr>
          <w:p w14:paraId="042AF369" w14:textId="77777777" w:rsidR="00055629" w:rsidRPr="00FB6B0A"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1,059,459</w:t>
            </w:r>
          </w:p>
        </w:tc>
        <w:tc>
          <w:tcPr>
            <w:tcW w:w="1881" w:type="dxa"/>
            <w:noWrap/>
            <w:hideMark/>
          </w:tcPr>
          <w:p w14:paraId="7EC8B5A5" w14:textId="77777777" w:rsidR="00055629" w:rsidRPr="00FB6B0A"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1,022,384</w:t>
            </w:r>
          </w:p>
        </w:tc>
        <w:tc>
          <w:tcPr>
            <w:tcW w:w="1767" w:type="dxa"/>
            <w:noWrap/>
            <w:hideMark/>
          </w:tcPr>
          <w:p w14:paraId="74ED651D" w14:textId="6AFF9E01" w:rsidR="00055629" w:rsidRPr="00FB6B0A"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892,377</w:t>
            </w:r>
          </w:p>
        </w:tc>
      </w:tr>
      <w:tr w:rsidR="00055629" w:rsidRPr="00FF1BB2" w14:paraId="49661E1C" w14:textId="77777777" w:rsidTr="00482A61">
        <w:trPr>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0729B979" w14:textId="77777777" w:rsidR="00055629" w:rsidRPr="00FF1BB2" w:rsidRDefault="00055629" w:rsidP="00FF1BB2">
            <w:pPr>
              <w:rPr>
                <w:rFonts w:eastAsia="Times New Roman" w:cs="Arial"/>
                <w:szCs w:val="22"/>
                <w:lang w:val="en-AU" w:eastAsia="en-AU"/>
              </w:rPr>
            </w:pPr>
          </w:p>
        </w:tc>
        <w:tc>
          <w:tcPr>
            <w:tcW w:w="1506" w:type="dxa"/>
            <w:noWrap/>
            <w:hideMark/>
          </w:tcPr>
          <w:p w14:paraId="66BD1E83" w14:textId="77777777" w:rsidR="00055629" w:rsidRPr="00FF1BB2" w:rsidRDefault="00055629"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81" w:type="dxa"/>
            <w:noWrap/>
            <w:hideMark/>
          </w:tcPr>
          <w:p w14:paraId="00487357" w14:textId="77777777" w:rsidR="00055629" w:rsidRPr="00FF1BB2" w:rsidRDefault="00055629"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767" w:type="dxa"/>
            <w:noWrap/>
            <w:hideMark/>
          </w:tcPr>
          <w:p w14:paraId="767D8BB9" w14:textId="77777777" w:rsidR="00055629" w:rsidRPr="00FF1BB2" w:rsidRDefault="00055629"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FF1BB2" w:rsidRPr="00FF1BB2" w14:paraId="73C1E8AD" w14:textId="77777777" w:rsidTr="0005562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6D9E0198" w14:textId="77777777" w:rsidR="00FF1BB2" w:rsidRPr="00FF1BB2" w:rsidRDefault="00FF1BB2" w:rsidP="00FF1BB2">
            <w:pPr>
              <w:rPr>
                <w:rFonts w:eastAsia="Times New Roman" w:cs="Arial"/>
                <w:szCs w:val="22"/>
                <w:lang w:val="en-AU" w:eastAsia="en-AU"/>
              </w:rPr>
            </w:pPr>
            <w:r w:rsidRPr="00FF1BB2">
              <w:rPr>
                <w:rFonts w:eastAsia="Times New Roman" w:cs="Arial"/>
                <w:szCs w:val="22"/>
                <w:lang w:val="en-AU" w:eastAsia="en-AU"/>
              </w:rPr>
              <w:t>Non-current liabilities</w:t>
            </w:r>
          </w:p>
        </w:tc>
        <w:tc>
          <w:tcPr>
            <w:tcW w:w="1506" w:type="dxa"/>
            <w:noWrap/>
            <w:hideMark/>
          </w:tcPr>
          <w:p w14:paraId="61B013DC" w14:textId="77777777" w:rsidR="00FF1BB2" w:rsidRPr="00FF1BB2" w:rsidRDefault="00FF1BB2"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881" w:type="dxa"/>
            <w:noWrap/>
            <w:hideMark/>
          </w:tcPr>
          <w:p w14:paraId="3AF6D1A3" w14:textId="77777777" w:rsidR="00FF1BB2" w:rsidRPr="00FF1BB2" w:rsidRDefault="00FF1BB2"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767" w:type="dxa"/>
            <w:noWrap/>
            <w:hideMark/>
          </w:tcPr>
          <w:p w14:paraId="29D53794" w14:textId="77777777" w:rsidR="00FF1BB2" w:rsidRPr="00FF1BB2" w:rsidRDefault="00FF1BB2"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r>
      <w:tr w:rsidR="00055629" w:rsidRPr="00FF1BB2" w14:paraId="23AAD425" w14:textId="77777777" w:rsidTr="00E920A3">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628EE967"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Payables</w:t>
            </w:r>
          </w:p>
        </w:tc>
        <w:tc>
          <w:tcPr>
            <w:tcW w:w="1506" w:type="dxa"/>
            <w:noWrap/>
            <w:hideMark/>
          </w:tcPr>
          <w:p w14:paraId="1F9CFA8C"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4,739</w:t>
            </w:r>
          </w:p>
        </w:tc>
        <w:tc>
          <w:tcPr>
            <w:tcW w:w="1881" w:type="dxa"/>
            <w:noWrap/>
            <w:hideMark/>
          </w:tcPr>
          <w:p w14:paraId="64449670"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7,713</w:t>
            </w:r>
          </w:p>
        </w:tc>
        <w:tc>
          <w:tcPr>
            <w:tcW w:w="1767" w:type="dxa"/>
            <w:noWrap/>
            <w:hideMark/>
          </w:tcPr>
          <w:p w14:paraId="364C2EC4"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7,713</w:t>
            </w:r>
          </w:p>
        </w:tc>
      </w:tr>
      <w:tr w:rsidR="00055629" w:rsidRPr="00FF1BB2" w14:paraId="593CC309" w14:textId="77777777" w:rsidTr="002772B5">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74FBDCC2"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Other financial liabilities</w:t>
            </w:r>
          </w:p>
        </w:tc>
        <w:tc>
          <w:tcPr>
            <w:tcW w:w="1506" w:type="dxa"/>
            <w:noWrap/>
            <w:hideMark/>
          </w:tcPr>
          <w:p w14:paraId="7D51062B"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2,290,241</w:t>
            </w:r>
          </w:p>
        </w:tc>
        <w:tc>
          <w:tcPr>
            <w:tcW w:w="1881" w:type="dxa"/>
            <w:noWrap/>
            <w:hideMark/>
          </w:tcPr>
          <w:p w14:paraId="28669E07"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2,533,235</w:t>
            </w:r>
          </w:p>
        </w:tc>
        <w:tc>
          <w:tcPr>
            <w:tcW w:w="1767" w:type="dxa"/>
            <w:noWrap/>
            <w:hideMark/>
          </w:tcPr>
          <w:p w14:paraId="03C93682"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2,312,511</w:t>
            </w:r>
          </w:p>
        </w:tc>
      </w:tr>
      <w:tr w:rsidR="00055629" w:rsidRPr="00FF1BB2" w14:paraId="7B6ADBF0" w14:textId="77777777" w:rsidTr="002C4268">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7682CE4E"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Lease liabilities</w:t>
            </w:r>
          </w:p>
        </w:tc>
        <w:tc>
          <w:tcPr>
            <w:tcW w:w="1506" w:type="dxa"/>
            <w:noWrap/>
            <w:hideMark/>
          </w:tcPr>
          <w:p w14:paraId="133170F6"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458,389</w:t>
            </w:r>
          </w:p>
        </w:tc>
        <w:tc>
          <w:tcPr>
            <w:tcW w:w="1881" w:type="dxa"/>
            <w:noWrap/>
            <w:hideMark/>
          </w:tcPr>
          <w:p w14:paraId="6AC75320"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417,196</w:t>
            </w:r>
          </w:p>
        </w:tc>
        <w:tc>
          <w:tcPr>
            <w:tcW w:w="1767" w:type="dxa"/>
            <w:noWrap/>
            <w:hideMark/>
          </w:tcPr>
          <w:p w14:paraId="7BCCD095"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476,223</w:t>
            </w:r>
          </w:p>
        </w:tc>
      </w:tr>
      <w:tr w:rsidR="00055629" w:rsidRPr="00FF1BB2" w14:paraId="4174212D" w14:textId="77777777" w:rsidTr="00571BD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6CF420CD"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Provisions</w:t>
            </w:r>
          </w:p>
        </w:tc>
        <w:tc>
          <w:tcPr>
            <w:tcW w:w="1506" w:type="dxa"/>
            <w:noWrap/>
            <w:hideMark/>
          </w:tcPr>
          <w:p w14:paraId="6C9B4C4F"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131,594</w:t>
            </w:r>
          </w:p>
        </w:tc>
        <w:tc>
          <w:tcPr>
            <w:tcW w:w="1881" w:type="dxa"/>
            <w:noWrap/>
            <w:hideMark/>
          </w:tcPr>
          <w:p w14:paraId="1CCB6C03"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143,131</w:t>
            </w:r>
          </w:p>
        </w:tc>
        <w:tc>
          <w:tcPr>
            <w:tcW w:w="1767" w:type="dxa"/>
            <w:noWrap/>
            <w:hideMark/>
          </w:tcPr>
          <w:p w14:paraId="42FB6590" w14:textId="7D3FDB5B"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131,59</w:t>
            </w:r>
            <w:r>
              <w:rPr>
                <w:rFonts w:eastAsia="Times New Roman" w:cs="Arial"/>
                <w:szCs w:val="22"/>
                <w:lang w:val="en-AU" w:eastAsia="en-AU"/>
              </w:rPr>
              <w:t>3</w:t>
            </w:r>
          </w:p>
        </w:tc>
      </w:tr>
      <w:tr w:rsidR="00055629" w:rsidRPr="00FF1BB2" w14:paraId="27ED073A" w14:textId="77777777" w:rsidTr="0060504C">
        <w:trPr>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1786F88C"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Service concession liabilities</w:t>
            </w:r>
          </w:p>
        </w:tc>
        <w:tc>
          <w:tcPr>
            <w:tcW w:w="1506" w:type="dxa"/>
            <w:noWrap/>
            <w:hideMark/>
          </w:tcPr>
          <w:p w14:paraId="2FF9C4D6"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1,681,393</w:t>
            </w:r>
          </w:p>
        </w:tc>
        <w:tc>
          <w:tcPr>
            <w:tcW w:w="1881" w:type="dxa"/>
            <w:noWrap/>
            <w:hideMark/>
          </w:tcPr>
          <w:p w14:paraId="1C012581"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1,648,608</w:t>
            </w:r>
          </w:p>
        </w:tc>
        <w:tc>
          <w:tcPr>
            <w:tcW w:w="1767" w:type="dxa"/>
            <w:noWrap/>
            <w:hideMark/>
          </w:tcPr>
          <w:p w14:paraId="73087E95" w14:textId="77777777" w:rsidR="00055629" w:rsidRPr="00FF1BB2"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1,696,292</w:t>
            </w:r>
          </w:p>
        </w:tc>
      </w:tr>
      <w:tr w:rsidR="00055629" w:rsidRPr="00FF1BB2" w14:paraId="07DD433D" w14:textId="77777777" w:rsidTr="003270D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31B6807F" w14:textId="77777777" w:rsidR="00055629" w:rsidRPr="00FF1BB2" w:rsidRDefault="00055629" w:rsidP="00FF1BB2">
            <w:pPr>
              <w:rPr>
                <w:rFonts w:eastAsia="Times New Roman" w:cs="Arial"/>
                <w:szCs w:val="22"/>
                <w:lang w:val="en-AU" w:eastAsia="en-AU"/>
              </w:rPr>
            </w:pPr>
            <w:r w:rsidRPr="00FF1BB2">
              <w:rPr>
                <w:rFonts w:eastAsia="Times New Roman" w:cs="Arial"/>
                <w:szCs w:val="22"/>
                <w:lang w:val="en-AU" w:eastAsia="en-AU"/>
              </w:rPr>
              <w:t xml:space="preserve">Other   </w:t>
            </w:r>
          </w:p>
        </w:tc>
        <w:tc>
          <w:tcPr>
            <w:tcW w:w="1506" w:type="dxa"/>
            <w:noWrap/>
            <w:hideMark/>
          </w:tcPr>
          <w:p w14:paraId="416C438E"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131,492</w:t>
            </w:r>
          </w:p>
        </w:tc>
        <w:tc>
          <w:tcPr>
            <w:tcW w:w="1881" w:type="dxa"/>
            <w:noWrap/>
            <w:hideMark/>
          </w:tcPr>
          <w:p w14:paraId="716879FF"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91,080</w:t>
            </w:r>
          </w:p>
        </w:tc>
        <w:tc>
          <w:tcPr>
            <w:tcW w:w="1767" w:type="dxa"/>
            <w:noWrap/>
            <w:hideMark/>
          </w:tcPr>
          <w:p w14:paraId="501D1C8E" w14:textId="77777777" w:rsidR="00055629" w:rsidRPr="00FF1BB2" w:rsidRDefault="00055629"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131,992</w:t>
            </w:r>
          </w:p>
        </w:tc>
      </w:tr>
      <w:tr w:rsidR="00055629" w:rsidRPr="00FF1BB2" w14:paraId="71F312E2" w14:textId="77777777" w:rsidTr="00AE04D9">
        <w:trPr>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34AA8F54" w14:textId="77777777" w:rsidR="00055629" w:rsidRPr="00FF1BB2" w:rsidRDefault="00055629" w:rsidP="00FF1BB2">
            <w:pPr>
              <w:rPr>
                <w:rFonts w:eastAsia="Times New Roman" w:cs="Arial"/>
                <w:szCs w:val="22"/>
                <w:lang w:val="en-AU" w:eastAsia="en-AU"/>
              </w:rPr>
            </w:pPr>
          </w:p>
        </w:tc>
        <w:tc>
          <w:tcPr>
            <w:tcW w:w="1506" w:type="dxa"/>
            <w:noWrap/>
            <w:hideMark/>
          </w:tcPr>
          <w:p w14:paraId="0E494B28" w14:textId="77777777" w:rsidR="00055629" w:rsidRPr="00FB6B0A"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4,697,848</w:t>
            </w:r>
          </w:p>
        </w:tc>
        <w:tc>
          <w:tcPr>
            <w:tcW w:w="1881" w:type="dxa"/>
            <w:noWrap/>
            <w:hideMark/>
          </w:tcPr>
          <w:p w14:paraId="2CD4F581" w14:textId="77777777" w:rsidR="00055629" w:rsidRPr="00FB6B0A"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4,840,963</w:t>
            </w:r>
          </w:p>
        </w:tc>
        <w:tc>
          <w:tcPr>
            <w:tcW w:w="1767" w:type="dxa"/>
            <w:noWrap/>
            <w:hideMark/>
          </w:tcPr>
          <w:p w14:paraId="00DB23A5" w14:textId="47861492" w:rsidR="00055629" w:rsidRPr="00FB6B0A" w:rsidRDefault="00055629"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4,756,324</w:t>
            </w:r>
          </w:p>
        </w:tc>
      </w:tr>
      <w:tr w:rsidR="00FF1BB2" w:rsidRPr="00FF1BB2" w14:paraId="245C572F" w14:textId="77777777" w:rsidTr="0005562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15284CCF" w14:textId="77777777" w:rsidR="00FF1BB2" w:rsidRPr="00FF1BB2" w:rsidRDefault="00FF1BB2" w:rsidP="00FF1BB2">
            <w:pPr>
              <w:rPr>
                <w:rFonts w:eastAsia="Times New Roman" w:cs="Arial"/>
                <w:b w:val="0"/>
                <w:bCs w:val="0"/>
                <w:szCs w:val="22"/>
                <w:lang w:val="en-AU" w:eastAsia="en-AU"/>
              </w:rPr>
            </w:pPr>
            <w:r w:rsidRPr="00FF1BB2">
              <w:rPr>
                <w:rFonts w:eastAsia="Times New Roman" w:cs="Arial"/>
                <w:szCs w:val="22"/>
                <w:lang w:val="en-AU" w:eastAsia="en-AU"/>
              </w:rPr>
              <w:t>Total liabilities</w:t>
            </w:r>
          </w:p>
        </w:tc>
        <w:tc>
          <w:tcPr>
            <w:tcW w:w="1506" w:type="dxa"/>
            <w:noWrap/>
            <w:hideMark/>
          </w:tcPr>
          <w:p w14:paraId="46176502" w14:textId="77777777" w:rsidR="00FF1BB2" w:rsidRPr="00FB6B0A"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5,757,307</w:t>
            </w:r>
          </w:p>
        </w:tc>
        <w:tc>
          <w:tcPr>
            <w:tcW w:w="1881" w:type="dxa"/>
            <w:noWrap/>
            <w:hideMark/>
          </w:tcPr>
          <w:p w14:paraId="0A8AE654" w14:textId="77777777" w:rsidR="00FF1BB2" w:rsidRPr="00FB6B0A"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5,863,347</w:t>
            </w:r>
          </w:p>
        </w:tc>
        <w:tc>
          <w:tcPr>
            <w:tcW w:w="1767" w:type="dxa"/>
            <w:noWrap/>
            <w:hideMark/>
          </w:tcPr>
          <w:p w14:paraId="0DB2EDE0" w14:textId="77777777" w:rsidR="00FF1BB2" w:rsidRPr="00FB6B0A"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5,648,701</w:t>
            </w:r>
          </w:p>
        </w:tc>
      </w:tr>
      <w:tr w:rsidR="00FF1BB2" w:rsidRPr="00FF1BB2" w14:paraId="5469AD27" w14:textId="77777777" w:rsidTr="00055629">
        <w:trPr>
          <w:trHeight w:val="232"/>
        </w:trPr>
        <w:tc>
          <w:tcPr>
            <w:cnfStyle w:val="001000000000" w:firstRow="0" w:lastRow="0" w:firstColumn="1" w:lastColumn="0" w:oddVBand="0" w:evenVBand="0" w:oddHBand="0" w:evenHBand="0" w:firstRowFirstColumn="0" w:firstRowLastColumn="0" w:lastRowFirstColumn="0" w:lastRowLastColumn="0"/>
            <w:tcW w:w="4631" w:type="dxa"/>
            <w:noWrap/>
            <w:hideMark/>
          </w:tcPr>
          <w:p w14:paraId="05897162" w14:textId="77777777" w:rsidR="00FF1BB2" w:rsidRPr="00FF1BB2" w:rsidRDefault="00FF1BB2" w:rsidP="00FF1BB2">
            <w:pPr>
              <w:rPr>
                <w:rFonts w:eastAsia="Times New Roman" w:cs="Arial"/>
                <w:b w:val="0"/>
                <w:bCs w:val="0"/>
                <w:szCs w:val="22"/>
                <w:lang w:val="en-AU" w:eastAsia="en-AU"/>
              </w:rPr>
            </w:pPr>
            <w:r w:rsidRPr="00FF1BB2">
              <w:rPr>
                <w:rFonts w:eastAsia="Times New Roman" w:cs="Arial"/>
                <w:szCs w:val="22"/>
                <w:lang w:val="en-AU" w:eastAsia="en-AU"/>
              </w:rPr>
              <w:t>Net community assets</w:t>
            </w:r>
          </w:p>
        </w:tc>
        <w:tc>
          <w:tcPr>
            <w:tcW w:w="1506" w:type="dxa"/>
            <w:noWrap/>
            <w:hideMark/>
          </w:tcPr>
          <w:p w14:paraId="04CF5EC6" w14:textId="77777777" w:rsidR="00FF1BB2" w:rsidRPr="00FB6B0A" w:rsidRDefault="00FF1BB2"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27,523,671</w:t>
            </w:r>
          </w:p>
        </w:tc>
        <w:tc>
          <w:tcPr>
            <w:tcW w:w="1881" w:type="dxa"/>
            <w:noWrap/>
            <w:hideMark/>
          </w:tcPr>
          <w:p w14:paraId="22737ED0" w14:textId="77777777" w:rsidR="00FF1BB2" w:rsidRPr="00FB6B0A" w:rsidRDefault="00FF1BB2"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28,437,421</w:t>
            </w:r>
          </w:p>
        </w:tc>
        <w:tc>
          <w:tcPr>
            <w:tcW w:w="1767" w:type="dxa"/>
            <w:noWrap/>
            <w:hideMark/>
          </w:tcPr>
          <w:p w14:paraId="43D4C3D5" w14:textId="77777777" w:rsidR="00FF1BB2" w:rsidRPr="00FB6B0A" w:rsidRDefault="00FF1BB2"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27,482,182</w:t>
            </w:r>
          </w:p>
        </w:tc>
      </w:tr>
      <w:tr w:rsidR="00055629" w:rsidRPr="00FF1BB2" w14:paraId="2DC6BCD3" w14:textId="77777777" w:rsidTr="006A651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15070823" w14:textId="77777777" w:rsidR="00055629" w:rsidRPr="00FF1BB2" w:rsidRDefault="00055629" w:rsidP="00FF1BB2">
            <w:pPr>
              <w:rPr>
                <w:rFonts w:eastAsia="Times New Roman" w:cs="Arial"/>
                <w:szCs w:val="22"/>
                <w:lang w:val="en-AU" w:eastAsia="en-AU"/>
              </w:rPr>
            </w:pPr>
          </w:p>
        </w:tc>
        <w:tc>
          <w:tcPr>
            <w:tcW w:w="1506" w:type="dxa"/>
            <w:noWrap/>
            <w:hideMark/>
          </w:tcPr>
          <w:p w14:paraId="49CFD698" w14:textId="77777777" w:rsidR="00055629" w:rsidRPr="00FF1BB2" w:rsidRDefault="00055629"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881" w:type="dxa"/>
            <w:noWrap/>
            <w:hideMark/>
          </w:tcPr>
          <w:p w14:paraId="456861AE" w14:textId="77777777" w:rsidR="00055629" w:rsidRPr="00FF1BB2" w:rsidRDefault="00055629"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767" w:type="dxa"/>
            <w:noWrap/>
            <w:hideMark/>
          </w:tcPr>
          <w:p w14:paraId="50782F98" w14:textId="77777777" w:rsidR="00055629" w:rsidRPr="00FF1BB2" w:rsidRDefault="00055629" w:rsidP="00FF1BB2">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r>
      <w:tr w:rsidR="00FF1BB2" w:rsidRPr="00FF1BB2" w14:paraId="727A55F2" w14:textId="77777777" w:rsidTr="00055629">
        <w:trPr>
          <w:trHeight w:val="243"/>
        </w:trPr>
        <w:tc>
          <w:tcPr>
            <w:cnfStyle w:val="001000000000" w:firstRow="0" w:lastRow="0" w:firstColumn="1" w:lastColumn="0" w:oddVBand="0" w:evenVBand="0" w:oddHBand="0" w:evenHBand="0" w:firstRowFirstColumn="0" w:firstRowLastColumn="0" w:lastRowFirstColumn="0" w:lastRowLastColumn="0"/>
            <w:tcW w:w="4631" w:type="dxa"/>
            <w:noWrap/>
            <w:hideMark/>
          </w:tcPr>
          <w:p w14:paraId="3C46C5FE" w14:textId="77777777" w:rsidR="00FF1BB2" w:rsidRPr="00FF1BB2" w:rsidRDefault="00FF1BB2" w:rsidP="00FF1BB2">
            <w:pPr>
              <w:rPr>
                <w:rFonts w:eastAsia="Times New Roman" w:cs="Arial"/>
                <w:b w:val="0"/>
                <w:bCs w:val="0"/>
                <w:szCs w:val="22"/>
                <w:lang w:val="en-AU" w:eastAsia="en-AU"/>
              </w:rPr>
            </w:pPr>
            <w:r w:rsidRPr="00FF1BB2">
              <w:rPr>
                <w:rFonts w:eastAsia="Times New Roman" w:cs="Arial"/>
                <w:szCs w:val="22"/>
                <w:lang w:val="en-AU" w:eastAsia="en-AU"/>
              </w:rPr>
              <w:t>Community equity</w:t>
            </w:r>
          </w:p>
        </w:tc>
        <w:tc>
          <w:tcPr>
            <w:tcW w:w="1506" w:type="dxa"/>
            <w:noWrap/>
            <w:hideMark/>
          </w:tcPr>
          <w:p w14:paraId="022664DD"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p>
        </w:tc>
        <w:tc>
          <w:tcPr>
            <w:tcW w:w="1881" w:type="dxa"/>
            <w:noWrap/>
            <w:hideMark/>
          </w:tcPr>
          <w:p w14:paraId="15F81F9F"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767" w:type="dxa"/>
            <w:noWrap/>
            <w:hideMark/>
          </w:tcPr>
          <w:p w14:paraId="6AE1C61E" w14:textId="77777777" w:rsidR="00FF1BB2" w:rsidRPr="00FF1BB2" w:rsidRDefault="00FF1BB2" w:rsidP="00FF1BB2">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FF1BB2" w:rsidRPr="00FF1BB2" w14:paraId="2F9D4AED" w14:textId="77777777" w:rsidTr="0005562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31" w:type="dxa"/>
            <w:noWrap/>
            <w:hideMark/>
          </w:tcPr>
          <w:p w14:paraId="5A40183A" w14:textId="77777777" w:rsidR="00FF1BB2" w:rsidRPr="00FF1BB2" w:rsidRDefault="00FF1BB2" w:rsidP="00FF1BB2">
            <w:pPr>
              <w:rPr>
                <w:rFonts w:eastAsia="Times New Roman" w:cs="Arial"/>
                <w:szCs w:val="22"/>
                <w:lang w:val="en-AU" w:eastAsia="en-AU"/>
              </w:rPr>
            </w:pPr>
            <w:r w:rsidRPr="00FF1BB2">
              <w:rPr>
                <w:rFonts w:eastAsia="Times New Roman" w:cs="Arial"/>
                <w:szCs w:val="22"/>
                <w:lang w:val="en-AU" w:eastAsia="en-AU"/>
              </w:rPr>
              <w:t>Asset revaluation surplus</w:t>
            </w:r>
          </w:p>
        </w:tc>
        <w:tc>
          <w:tcPr>
            <w:tcW w:w="1506" w:type="dxa"/>
            <w:noWrap/>
            <w:hideMark/>
          </w:tcPr>
          <w:p w14:paraId="67EE57E3" w14:textId="77777777" w:rsidR="00FF1BB2" w:rsidRPr="00FF1BB2"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13,942,577</w:t>
            </w:r>
          </w:p>
        </w:tc>
        <w:tc>
          <w:tcPr>
            <w:tcW w:w="1881" w:type="dxa"/>
            <w:noWrap/>
            <w:hideMark/>
          </w:tcPr>
          <w:p w14:paraId="3DAE921B" w14:textId="77777777" w:rsidR="00FF1BB2" w:rsidRPr="00FF1BB2"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14,413,536</w:t>
            </w:r>
          </w:p>
        </w:tc>
        <w:tc>
          <w:tcPr>
            <w:tcW w:w="1767" w:type="dxa"/>
            <w:noWrap/>
            <w:hideMark/>
          </w:tcPr>
          <w:p w14:paraId="6D27EC33" w14:textId="77777777" w:rsidR="00FF1BB2" w:rsidRPr="00FF1BB2"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13,947,407</w:t>
            </w:r>
          </w:p>
        </w:tc>
      </w:tr>
      <w:tr w:rsidR="00FF1BB2" w:rsidRPr="00FF1BB2" w14:paraId="72F3C859" w14:textId="77777777" w:rsidTr="00055629">
        <w:trPr>
          <w:trHeight w:val="238"/>
        </w:trPr>
        <w:tc>
          <w:tcPr>
            <w:cnfStyle w:val="001000000000" w:firstRow="0" w:lastRow="0" w:firstColumn="1" w:lastColumn="0" w:oddVBand="0" w:evenVBand="0" w:oddHBand="0" w:evenHBand="0" w:firstRowFirstColumn="0" w:firstRowLastColumn="0" w:lastRowFirstColumn="0" w:lastRowLastColumn="0"/>
            <w:tcW w:w="4631" w:type="dxa"/>
            <w:noWrap/>
            <w:hideMark/>
          </w:tcPr>
          <w:p w14:paraId="40503D3D" w14:textId="77777777" w:rsidR="00FF1BB2" w:rsidRPr="00FF1BB2" w:rsidRDefault="00FF1BB2" w:rsidP="00FF1BB2">
            <w:pPr>
              <w:rPr>
                <w:rFonts w:eastAsia="Times New Roman" w:cs="Arial"/>
                <w:szCs w:val="22"/>
                <w:lang w:val="en-AU" w:eastAsia="en-AU"/>
              </w:rPr>
            </w:pPr>
            <w:r w:rsidRPr="00FF1BB2">
              <w:rPr>
                <w:rFonts w:eastAsia="Times New Roman" w:cs="Arial"/>
                <w:szCs w:val="22"/>
                <w:lang w:val="en-AU" w:eastAsia="en-AU"/>
              </w:rPr>
              <w:lastRenderedPageBreak/>
              <w:t>Cash flow and cost of hedging reserves</w:t>
            </w:r>
          </w:p>
        </w:tc>
        <w:tc>
          <w:tcPr>
            <w:tcW w:w="1506" w:type="dxa"/>
            <w:noWrap/>
            <w:hideMark/>
          </w:tcPr>
          <w:p w14:paraId="614A3083" w14:textId="77777777" w:rsidR="00FF1BB2" w:rsidRPr="00FF1BB2" w:rsidRDefault="00FF1BB2"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(9,059)</w:t>
            </w:r>
          </w:p>
        </w:tc>
        <w:tc>
          <w:tcPr>
            <w:tcW w:w="1881" w:type="dxa"/>
            <w:noWrap/>
            <w:hideMark/>
          </w:tcPr>
          <w:p w14:paraId="76340C3F" w14:textId="77777777" w:rsidR="00FF1BB2" w:rsidRPr="00FF1BB2" w:rsidRDefault="00FF1BB2"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w:t>
            </w:r>
          </w:p>
        </w:tc>
        <w:tc>
          <w:tcPr>
            <w:tcW w:w="1767" w:type="dxa"/>
            <w:noWrap/>
            <w:hideMark/>
          </w:tcPr>
          <w:p w14:paraId="45C6B3FD" w14:textId="3D8722C0" w:rsidR="00FF1BB2" w:rsidRPr="00FF1BB2" w:rsidRDefault="00FF1BB2"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(8,1</w:t>
            </w:r>
            <w:r w:rsidR="00A856E1">
              <w:rPr>
                <w:rFonts w:eastAsia="Times New Roman" w:cs="Arial"/>
                <w:szCs w:val="22"/>
                <w:lang w:val="en-AU" w:eastAsia="en-AU"/>
              </w:rPr>
              <w:t>60</w:t>
            </w:r>
            <w:r w:rsidRPr="00FF1BB2">
              <w:rPr>
                <w:rFonts w:eastAsia="Times New Roman" w:cs="Arial"/>
                <w:szCs w:val="22"/>
                <w:lang w:val="en-AU" w:eastAsia="en-AU"/>
              </w:rPr>
              <w:t>)</w:t>
            </w:r>
          </w:p>
        </w:tc>
      </w:tr>
      <w:tr w:rsidR="00FF1BB2" w:rsidRPr="00FF1BB2" w14:paraId="5A43EC27" w14:textId="77777777" w:rsidTr="0005562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31" w:type="dxa"/>
            <w:noWrap/>
            <w:hideMark/>
          </w:tcPr>
          <w:p w14:paraId="0D59FD90" w14:textId="77777777" w:rsidR="00FF1BB2" w:rsidRPr="00FF1BB2" w:rsidRDefault="00FF1BB2" w:rsidP="00FF1BB2">
            <w:pPr>
              <w:rPr>
                <w:rFonts w:eastAsia="Times New Roman" w:cs="Arial"/>
                <w:szCs w:val="22"/>
                <w:lang w:val="en-AU" w:eastAsia="en-AU"/>
              </w:rPr>
            </w:pPr>
            <w:r w:rsidRPr="00FF1BB2">
              <w:rPr>
                <w:rFonts w:eastAsia="Times New Roman" w:cs="Arial"/>
                <w:szCs w:val="22"/>
                <w:lang w:val="en-AU" w:eastAsia="en-AU"/>
              </w:rPr>
              <w:t>Accumulated surplus</w:t>
            </w:r>
          </w:p>
        </w:tc>
        <w:tc>
          <w:tcPr>
            <w:tcW w:w="1506" w:type="dxa"/>
            <w:noWrap/>
            <w:hideMark/>
          </w:tcPr>
          <w:p w14:paraId="50614146" w14:textId="77777777" w:rsidR="00FF1BB2" w:rsidRPr="00FF1BB2"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13,590,153</w:t>
            </w:r>
          </w:p>
        </w:tc>
        <w:tc>
          <w:tcPr>
            <w:tcW w:w="1881" w:type="dxa"/>
            <w:noWrap/>
            <w:hideMark/>
          </w:tcPr>
          <w:p w14:paraId="3E11EA9A" w14:textId="77777777" w:rsidR="00FF1BB2" w:rsidRPr="00FF1BB2"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14,023,885</w:t>
            </w:r>
          </w:p>
        </w:tc>
        <w:tc>
          <w:tcPr>
            <w:tcW w:w="1767" w:type="dxa"/>
            <w:noWrap/>
            <w:hideMark/>
          </w:tcPr>
          <w:p w14:paraId="5061FD6C" w14:textId="187762E0" w:rsidR="00FF1BB2" w:rsidRPr="00FF1BB2" w:rsidRDefault="00FF1BB2" w:rsidP="00FF1BB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FF1BB2">
              <w:rPr>
                <w:rFonts w:eastAsia="Times New Roman" w:cs="Arial"/>
                <w:szCs w:val="22"/>
                <w:lang w:val="en-AU" w:eastAsia="en-AU"/>
              </w:rPr>
              <w:t>13,542,93</w:t>
            </w:r>
            <w:r w:rsidR="00A856E1">
              <w:rPr>
                <w:rFonts w:eastAsia="Times New Roman" w:cs="Arial"/>
                <w:szCs w:val="22"/>
                <w:lang w:val="en-AU" w:eastAsia="en-AU"/>
              </w:rPr>
              <w:t>5</w:t>
            </w:r>
          </w:p>
        </w:tc>
      </w:tr>
      <w:tr w:rsidR="00FF1BB2" w:rsidRPr="00FF1BB2" w14:paraId="34F132C5" w14:textId="77777777" w:rsidTr="00055629">
        <w:trPr>
          <w:trHeight w:val="232"/>
        </w:trPr>
        <w:tc>
          <w:tcPr>
            <w:cnfStyle w:val="001000000000" w:firstRow="0" w:lastRow="0" w:firstColumn="1" w:lastColumn="0" w:oddVBand="0" w:evenVBand="0" w:oddHBand="0" w:evenHBand="0" w:firstRowFirstColumn="0" w:firstRowLastColumn="0" w:lastRowFirstColumn="0" w:lastRowLastColumn="0"/>
            <w:tcW w:w="4631" w:type="dxa"/>
            <w:noWrap/>
            <w:hideMark/>
          </w:tcPr>
          <w:p w14:paraId="7AC77ECA" w14:textId="77777777" w:rsidR="00FF1BB2" w:rsidRPr="00FF1BB2" w:rsidRDefault="00FF1BB2" w:rsidP="00FF1BB2">
            <w:pPr>
              <w:rPr>
                <w:rFonts w:eastAsia="Times New Roman" w:cs="Arial"/>
                <w:b w:val="0"/>
                <w:bCs w:val="0"/>
                <w:szCs w:val="22"/>
                <w:lang w:val="en-AU" w:eastAsia="en-AU"/>
              </w:rPr>
            </w:pPr>
            <w:r w:rsidRPr="00FF1BB2">
              <w:rPr>
                <w:rFonts w:eastAsia="Times New Roman" w:cs="Arial"/>
                <w:szCs w:val="22"/>
                <w:lang w:val="en-AU" w:eastAsia="en-AU"/>
              </w:rPr>
              <w:t>Total community equity</w:t>
            </w:r>
          </w:p>
        </w:tc>
        <w:tc>
          <w:tcPr>
            <w:tcW w:w="1506" w:type="dxa"/>
            <w:noWrap/>
            <w:hideMark/>
          </w:tcPr>
          <w:p w14:paraId="5257F76E" w14:textId="77777777" w:rsidR="00FF1BB2" w:rsidRPr="00FB6B0A" w:rsidRDefault="00FF1BB2"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27,523,671</w:t>
            </w:r>
          </w:p>
        </w:tc>
        <w:tc>
          <w:tcPr>
            <w:tcW w:w="1881" w:type="dxa"/>
            <w:noWrap/>
            <w:hideMark/>
          </w:tcPr>
          <w:p w14:paraId="13BC0E1B" w14:textId="77777777" w:rsidR="00FF1BB2" w:rsidRPr="00FB6B0A" w:rsidRDefault="00FF1BB2"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28,437,421</w:t>
            </w:r>
          </w:p>
        </w:tc>
        <w:tc>
          <w:tcPr>
            <w:tcW w:w="1767" w:type="dxa"/>
            <w:noWrap/>
            <w:hideMark/>
          </w:tcPr>
          <w:p w14:paraId="3075DECD" w14:textId="77777777" w:rsidR="00FF1BB2" w:rsidRPr="00FB6B0A" w:rsidRDefault="00FF1BB2" w:rsidP="00FF1BB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27,482,182</w:t>
            </w:r>
          </w:p>
        </w:tc>
      </w:tr>
    </w:tbl>
    <w:p w14:paraId="77947F18" w14:textId="4974F028" w:rsidR="00386B12" w:rsidRPr="00B24360" w:rsidRDefault="007E3720" w:rsidP="0057257F">
      <w:pPr>
        <w:pStyle w:val="Heading3"/>
      </w:pPr>
      <w:bookmarkStart w:id="12" w:name="_Toc111126248"/>
      <w:bookmarkStart w:id="13" w:name="_Toc127436751"/>
      <w:r w:rsidRPr="00B24360">
        <w:t>Statement of changes in equity</w:t>
      </w:r>
      <w:bookmarkEnd w:id="12"/>
      <w:bookmarkEnd w:id="13"/>
    </w:p>
    <w:p w14:paraId="4314D9C4" w14:textId="77777777" w:rsidR="00EF4D23" w:rsidRPr="00CE184B" w:rsidRDefault="00981E62" w:rsidP="00386B12">
      <w:pPr>
        <w:rPr>
          <w:rFonts w:cs="Arial"/>
          <w:b/>
          <w:bCs/>
          <w:szCs w:val="22"/>
        </w:rPr>
      </w:pPr>
      <w:r>
        <w:rPr>
          <w:rFonts w:cs="Arial"/>
          <w:b/>
          <w:bCs/>
          <w:sz w:val="20"/>
          <w:szCs w:val="20"/>
        </w:rPr>
        <w:t xml:space="preserve"> </w:t>
      </w:r>
    </w:p>
    <w:tbl>
      <w:tblPr>
        <w:tblStyle w:val="ListTable3"/>
        <w:tblW w:w="9781" w:type="dxa"/>
        <w:tblLayout w:type="fixed"/>
        <w:tblLook w:val="04A0" w:firstRow="1" w:lastRow="0" w:firstColumn="1" w:lastColumn="0" w:noHBand="0" w:noVBand="1"/>
        <w:tblCaption w:val="Statement of change in equity"/>
        <w:tblDescription w:val="For the Period Ended September twenty twenty two.&#10;Actual, the following amounts are rounded to the nearest thousand.&#10;Approved annual budget 2022 - 23, the following amounts are rounded to the nearest thousand.&#10;Actual June 2022, the following amounts are rounded to the nearest thousand. &#10;Assets&#10;Current assets&#10;Cash and cash equivalents (645,520), (350,851), (529,013)&#10;Receivables (86,963), (84,505), (152,182).&#10;Inventories (19,043), (19,841), (19,137).&#10;Other (140,782), (120,171), (153,585).&#10;Assets classified as held for sale (2,817), (Nil), (2,817)&#10;Total current assets (895,125), (575,368), (856,733)&#10;&#10;Non-current assets&#10;Investment in associate (2,158,143), (2,158,143), (2,158,143)&#10;Other investments (201,223), (202,043), (201,305)&#10;Derivative financial instruments (5,050), (Nil), (5,949)&#10;Property, plant and equipment (29,420,068), (30,815,016), (29,285,413)&#10;Intangibles (162,780), (143,329), (168,586)&#10;Lease right of use assets (417,503), (385,783), (433,668)&#10;Superannuation defined benefit plan (21,086), (21,086), (21,086)&#10;Total non-current assets (32,385,853), (33,725,400), (32,274,150)&#10;Total assets (33,280,978), (34,300,768), (33,130,883)&#10;&#10;Liabilities&#10;Current liabilities&#10;Payables (434,886), (421,783), (305,264)&#10;Other financial liabilities (88,315), (103,509), (88,315)&#10;Lease liabilities (82,663), (88,718), (82,596)&#10;Provisions (232,347), (227,146), (235,526)&#10;Service concession liabilities (59,595), (60,147), (59,595)&#10;Other (161,653), (121,081), (121,081),&#10;Total current Liabilities, (1,059,459), (1,022,384), (892,377),&#10;&#10;Non-current liabilities&#10;Payables (4,739), (7,713), (7,713)&#10;Other financial liabilities (2,290,241), (2,533,235), (2,312,511)&#10;Lease liabilities (458,389), (417,196), (476,223),&#10;Provisions (131,594), (143,131), (131,593)&#10;Service concession liabilities (1,681,393), (1,648,608), (1,696,292),&#10;Other (131,492), (91,080), (131,992),&#10;Total non-current liabilities, (4,697,848), (4,840,963), (4,756,324),&#10;Total liabilities, (5,757,307), (5,863,347), (5,648,701).&#10;Net community assets, (27,523,671), (28,437,421), (27,482,182).&#10;&#10;Community equity&#10;Asset revaluation surplus (13,942,577), (14,413,536), (13,947,407),&#10;Cash flow and cost of hedging reserves, (decrease of 9,059), (nil) (decease of 8,160),&#10;Accumulated surplus, (13,590,153), (14,023,885), (13,542,935),&#10;Total community equity (27,523,671), (28,437,421), (27,482,182).&#10;"/>
      </w:tblPr>
      <w:tblGrid>
        <w:gridCol w:w="3686"/>
        <w:gridCol w:w="1367"/>
        <w:gridCol w:w="1468"/>
        <w:gridCol w:w="1417"/>
        <w:gridCol w:w="1843"/>
      </w:tblGrid>
      <w:tr w:rsidR="000327DD" w:rsidRPr="000327DD" w14:paraId="79F063C9" w14:textId="77777777" w:rsidTr="003F2CE4">
        <w:trPr>
          <w:cnfStyle w:val="100000000000" w:firstRow="1" w:lastRow="0" w:firstColumn="0" w:lastColumn="0" w:oddVBand="0" w:evenVBand="0" w:oddHBand="0" w:evenHBand="0" w:firstRowFirstColumn="0" w:firstRowLastColumn="0" w:lastRowFirstColumn="0" w:lastRowLastColumn="0"/>
          <w:trHeight w:val="1057"/>
        </w:trPr>
        <w:tc>
          <w:tcPr>
            <w:cnfStyle w:val="001000000100" w:firstRow="0" w:lastRow="0" w:firstColumn="1" w:lastColumn="0" w:oddVBand="0" w:evenVBand="0" w:oddHBand="0" w:evenHBand="0" w:firstRowFirstColumn="1" w:firstRowLastColumn="0" w:lastRowFirstColumn="0" w:lastRowLastColumn="0"/>
            <w:tcW w:w="3686" w:type="dxa"/>
            <w:hideMark/>
          </w:tcPr>
          <w:p w14:paraId="6AC9FF66" w14:textId="77777777" w:rsidR="000327DD" w:rsidRPr="000327DD" w:rsidRDefault="000327DD" w:rsidP="000327DD">
            <w:pPr>
              <w:rPr>
                <w:rFonts w:eastAsia="Times New Roman" w:cs="Arial"/>
                <w:b w:val="0"/>
                <w:bCs w:val="0"/>
                <w:szCs w:val="22"/>
                <w:lang w:val="en-AU" w:eastAsia="en-AU"/>
              </w:rPr>
            </w:pPr>
            <w:r w:rsidRPr="000327DD">
              <w:rPr>
                <w:rFonts w:eastAsia="Times New Roman" w:cs="Arial"/>
                <w:szCs w:val="22"/>
                <w:lang w:val="en-AU" w:eastAsia="en-AU"/>
              </w:rPr>
              <w:t>For the period ended</w:t>
            </w:r>
            <w:r w:rsidRPr="000327DD">
              <w:rPr>
                <w:rFonts w:eastAsia="Times New Roman" w:cs="Arial"/>
                <w:szCs w:val="22"/>
                <w:lang w:val="en-AU" w:eastAsia="en-AU"/>
              </w:rPr>
              <w:br/>
              <w:t>September 2022</w:t>
            </w:r>
          </w:p>
        </w:tc>
        <w:tc>
          <w:tcPr>
            <w:tcW w:w="1367" w:type="dxa"/>
            <w:noWrap/>
            <w:hideMark/>
          </w:tcPr>
          <w:p w14:paraId="6257E5F6" w14:textId="77777777" w:rsidR="000327DD" w:rsidRPr="000327DD" w:rsidRDefault="000327DD" w:rsidP="000327DD">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0327DD">
              <w:rPr>
                <w:rFonts w:eastAsia="Times New Roman" w:cs="Arial"/>
                <w:szCs w:val="22"/>
                <w:lang w:val="en-AU" w:eastAsia="en-AU"/>
              </w:rPr>
              <w:t>Total</w:t>
            </w:r>
          </w:p>
        </w:tc>
        <w:tc>
          <w:tcPr>
            <w:tcW w:w="1468" w:type="dxa"/>
            <w:hideMark/>
          </w:tcPr>
          <w:p w14:paraId="611DFC96" w14:textId="77777777" w:rsidR="000327DD" w:rsidRPr="000327DD" w:rsidRDefault="000327DD" w:rsidP="000327DD">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0327DD">
              <w:rPr>
                <w:rFonts w:eastAsia="Times New Roman" w:cs="Arial"/>
                <w:szCs w:val="22"/>
                <w:lang w:val="en-AU" w:eastAsia="en-AU"/>
              </w:rPr>
              <w:t xml:space="preserve">Asset </w:t>
            </w:r>
            <w:r w:rsidRPr="000327DD">
              <w:rPr>
                <w:rFonts w:eastAsia="Times New Roman" w:cs="Arial"/>
                <w:szCs w:val="22"/>
                <w:lang w:val="en-AU" w:eastAsia="en-AU"/>
              </w:rPr>
              <w:br/>
              <w:t xml:space="preserve">revaluation </w:t>
            </w:r>
            <w:r w:rsidRPr="000327DD">
              <w:rPr>
                <w:rFonts w:eastAsia="Times New Roman" w:cs="Arial"/>
                <w:szCs w:val="22"/>
                <w:lang w:val="en-AU" w:eastAsia="en-AU"/>
              </w:rPr>
              <w:br/>
              <w:t>surplus</w:t>
            </w:r>
          </w:p>
        </w:tc>
        <w:tc>
          <w:tcPr>
            <w:tcW w:w="1417" w:type="dxa"/>
            <w:hideMark/>
          </w:tcPr>
          <w:p w14:paraId="566FE7C0" w14:textId="77777777" w:rsidR="000327DD" w:rsidRPr="000327DD" w:rsidRDefault="000327DD" w:rsidP="000327DD">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0327DD">
              <w:rPr>
                <w:rFonts w:eastAsia="Times New Roman" w:cs="Arial"/>
                <w:szCs w:val="22"/>
                <w:lang w:val="en-AU" w:eastAsia="en-AU"/>
              </w:rPr>
              <w:t xml:space="preserve">Cash flow and cost of hedging reserves </w:t>
            </w:r>
          </w:p>
        </w:tc>
        <w:tc>
          <w:tcPr>
            <w:tcW w:w="1843" w:type="dxa"/>
            <w:hideMark/>
          </w:tcPr>
          <w:p w14:paraId="1E1A81C0" w14:textId="77777777" w:rsidR="000327DD" w:rsidRPr="000327DD" w:rsidRDefault="000327DD" w:rsidP="000327DD">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0327DD">
              <w:rPr>
                <w:rFonts w:eastAsia="Times New Roman" w:cs="Arial"/>
                <w:szCs w:val="22"/>
                <w:lang w:val="en-AU" w:eastAsia="en-AU"/>
              </w:rPr>
              <w:t>Accumulated surplus</w:t>
            </w:r>
          </w:p>
        </w:tc>
      </w:tr>
      <w:tr w:rsidR="000327DD" w:rsidRPr="000327DD" w14:paraId="47561B04" w14:textId="77777777" w:rsidTr="003F2CE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16310956" w14:textId="77777777" w:rsidR="000327DD" w:rsidRPr="000327DD" w:rsidRDefault="000327DD" w:rsidP="000327DD">
            <w:pPr>
              <w:rPr>
                <w:rFonts w:eastAsia="Times New Roman" w:cs="Arial"/>
                <w:szCs w:val="22"/>
                <w:lang w:val="en-AU" w:eastAsia="en-AU"/>
              </w:rPr>
            </w:pPr>
            <w:r w:rsidRPr="000327DD">
              <w:rPr>
                <w:rFonts w:eastAsia="Times New Roman" w:cs="Arial"/>
                <w:szCs w:val="22"/>
                <w:lang w:val="en-AU" w:eastAsia="en-AU"/>
              </w:rPr>
              <w:t> </w:t>
            </w:r>
          </w:p>
        </w:tc>
        <w:tc>
          <w:tcPr>
            <w:tcW w:w="1367" w:type="dxa"/>
            <w:noWrap/>
            <w:hideMark/>
          </w:tcPr>
          <w:p w14:paraId="723FF0B2"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$000</w:t>
            </w:r>
          </w:p>
        </w:tc>
        <w:tc>
          <w:tcPr>
            <w:tcW w:w="1468" w:type="dxa"/>
            <w:noWrap/>
            <w:hideMark/>
          </w:tcPr>
          <w:p w14:paraId="1A01CF4F"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$000</w:t>
            </w:r>
          </w:p>
        </w:tc>
        <w:tc>
          <w:tcPr>
            <w:tcW w:w="1417" w:type="dxa"/>
            <w:noWrap/>
            <w:hideMark/>
          </w:tcPr>
          <w:p w14:paraId="527AB9E1"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$000</w:t>
            </w:r>
          </w:p>
        </w:tc>
        <w:tc>
          <w:tcPr>
            <w:tcW w:w="1843" w:type="dxa"/>
            <w:noWrap/>
            <w:hideMark/>
          </w:tcPr>
          <w:p w14:paraId="4939BEB6"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$000</w:t>
            </w:r>
          </w:p>
        </w:tc>
      </w:tr>
      <w:tr w:rsidR="000327DD" w:rsidRPr="000327DD" w14:paraId="648A1690" w14:textId="77777777" w:rsidTr="003F2CE4">
        <w:trPr>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4D574C8F" w14:textId="77777777" w:rsidR="000327DD" w:rsidRPr="000327DD" w:rsidRDefault="000327DD" w:rsidP="000327DD">
            <w:pPr>
              <w:jc w:val="right"/>
              <w:rPr>
                <w:rFonts w:eastAsia="Times New Roman" w:cs="Arial"/>
                <w:b w:val="0"/>
                <w:bCs w:val="0"/>
                <w:szCs w:val="22"/>
                <w:lang w:val="en-AU" w:eastAsia="en-AU"/>
              </w:rPr>
            </w:pPr>
          </w:p>
        </w:tc>
        <w:tc>
          <w:tcPr>
            <w:tcW w:w="1367" w:type="dxa"/>
            <w:noWrap/>
            <w:hideMark/>
          </w:tcPr>
          <w:p w14:paraId="2920D734" w14:textId="77777777" w:rsidR="000327DD" w:rsidRPr="000327DD" w:rsidRDefault="000327DD" w:rsidP="00032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n-AU" w:eastAsia="en-AU"/>
              </w:rPr>
            </w:pPr>
          </w:p>
        </w:tc>
        <w:tc>
          <w:tcPr>
            <w:tcW w:w="1468" w:type="dxa"/>
            <w:noWrap/>
            <w:hideMark/>
          </w:tcPr>
          <w:p w14:paraId="6BECA3C7" w14:textId="77777777" w:rsidR="000327DD" w:rsidRPr="000327DD" w:rsidRDefault="000327DD" w:rsidP="00032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n-AU" w:eastAsia="en-AU"/>
              </w:rPr>
            </w:pPr>
          </w:p>
        </w:tc>
        <w:tc>
          <w:tcPr>
            <w:tcW w:w="1417" w:type="dxa"/>
            <w:noWrap/>
            <w:hideMark/>
          </w:tcPr>
          <w:p w14:paraId="70540AD7" w14:textId="77777777" w:rsidR="000327DD" w:rsidRPr="000327DD" w:rsidRDefault="000327DD" w:rsidP="00032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n-AU" w:eastAsia="en-AU"/>
              </w:rPr>
            </w:pPr>
          </w:p>
        </w:tc>
        <w:tc>
          <w:tcPr>
            <w:tcW w:w="1843" w:type="dxa"/>
            <w:noWrap/>
            <w:hideMark/>
          </w:tcPr>
          <w:p w14:paraId="6330DC8E" w14:textId="77777777" w:rsidR="000327DD" w:rsidRPr="000327DD" w:rsidRDefault="000327DD" w:rsidP="00032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n-AU" w:eastAsia="en-AU"/>
              </w:rPr>
            </w:pPr>
          </w:p>
        </w:tc>
      </w:tr>
      <w:tr w:rsidR="000327DD" w:rsidRPr="000327DD" w14:paraId="25BB7ABC" w14:textId="77777777" w:rsidTr="003F2CE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2090907E" w14:textId="77777777" w:rsidR="000327DD" w:rsidRPr="000327DD" w:rsidRDefault="000327DD" w:rsidP="000327DD">
            <w:pPr>
              <w:rPr>
                <w:rFonts w:eastAsia="Times New Roman" w:cs="Arial"/>
                <w:szCs w:val="22"/>
                <w:lang w:val="en-AU" w:eastAsia="en-AU"/>
              </w:rPr>
            </w:pPr>
            <w:r w:rsidRPr="000327DD">
              <w:rPr>
                <w:rFonts w:eastAsia="Times New Roman" w:cs="Arial"/>
                <w:szCs w:val="22"/>
                <w:lang w:val="en-AU" w:eastAsia="en-AU"/>
              </w:rPr>
              <w:t>Balance at beginning of year</w:t>
            </w:r>
          </w:p>
        </w:tc>
        <w:tc>
          <w:tcPr>
            <w:tcW w:w="1367" w:type="dxa"/>
            <w:noWrap/>
            <w:hideMark/>
          </w:tcPr>
          <w:p w14:paraId="6504071D"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27,482,182</w:t>
            </w:r>
          </w:p>
        </w:tc>
        <w:tc>
          <w:tcPr>
            <w:tcW w:w="1468" w:type="dxa"/>
            <w:noWrap/>
            <w:hideMark/>
          </w:tcPr>
          <w:p w14:paraId="6691DF77"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13,947,407</w:t>
            </w:r>
          </w:p>
        </w:tc>
        <w:tc>
          <w:tcPr>
            <w:tcW w:w="1417" w:type="dxa"/>
            <w:noWrap/>
            <w:hideMark/>
          </w:tcPr>
          <w:p w14:paraId="0536C2B5" w14:textId="09ED526F"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(8,1</w:t>
            </w:r>
            <w:r w:rsidR="00A856E1">
              <w:rPr>
                <w:rFonts w:eastAsia="Times New Roman" w:cs="Arial"/>
                <w:szCs w:val="22"/>
                <w:lang w:val="en-AU" w:eastAsia="en-AU"/>
              </w:rPr>
              <w:t>60</w:t>
            </w:r>
            <w:r w:rsidRPr="000327DD">
              <w:rPr>
                <w:rFonts w:eastAsia="Times New Roman" w:cs="Arial"/>
                <w:szCs w:val="22"/>
                <w:lang w:val="en-AU" w:eastAsia="en-AU"/>
              </w:rPr>
              <w:t>)</w:t>
            </w:r>
          </w:p>
        </w:tc>
        <w:tc>
          <w:tcPr>
            <w:tcW w:w="1843" w:type="dxa"/>
            <w:noWrap/>
            <w:hideMark/>
          </w:tcPr>
          <w:p w14:paraId="20D85181" w14:textId="7DFA9105"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13,542,93</w:t>
            </w:r>
            <w:r w:rsidR="00A856E1">
              <w:rPr>
                <w:rFonts w:eastAsia="Times New Roman" w:cs="Arial"/>
                <w:szCs w:val="22"/>
                <w:lang w:val="en-AU" w:eastAsia="en-AU"/>
              </w:rPr>
              <w:t>5</w:t>
            </w:r>
          </w:p>
        </w:tc>
      </w:tr>
      <w:tr w:rsidR="000327DD" w:rsidRPr="000327DD" w14:paraId="128138DE" w14:textId="77777777" w:rsidTr="003F2CE4">
        <w:trPr>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246052F8" w14:textId="77777777" w:rsidR="000327DD" w:rsidRPr="000327DD" w:rsidRDefault="000327DD" w:rsidP="000327DD">
            <w:pPr>
              <w:rPr>
                <w:rFonts w:eastAsia="Times New Roman" w:cs="Arial"/>
                <w:szCs w:val="22"/>
                <w:lang w:val="en-AU" w:eastAsia="en-AU"/>
              </w:rPr>
            </w:pPr>
            <w:r w:rsidRPr="000327DD">
              <w:rPr>
                <w:rFonts w:eastAsia="Times New Roman" w:cs="Arial"/>
                <w:szCs w:val="22"/>
                <w:lang w:val="en-AU" w:eastAsia="en-AU"/>
              </w:rPr>
              <w:t>Increase in operating capability</w:t>
            </w:r>
          </w:p>
        </w:tc>
        <w:tc>
          <w:tcPr>
            <w:tcW w:w="1367" w:type="dxa"/>
            <w:noWrap/>
            <w:hideMark/>
          </w:tcPr>
          <w:p w14:paraId="1E5BB150" w14:textId="1069F4E9"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47,21</w:t>
            </w:r>
            <w:r w:rsidR="008E5BC2">
              <w:rPr>
                <w:rFonts w:eastAsia="Times New Roman" w:cs="Arial"/>
                <w:szCs w:val="22"/>
                <w:lang w:val="en-AU" w:eastAsia="en-AU"/>
              </w:rPr>
              <w:t>8</w:t>
            </w:r>
          </w:p>
        </w:tc>
        <w:tc>
          <w:tcPr>
            <w:tcW w:w="1468" w:type="dxa"/>
            <w:noWrap/>
            <w:hideMark/>
          </w:tcPr>
          <w:p w14:paraId="3EAE0CE6"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c>
          <w:tcPr>
            <w:tcW w:w="1417" w:type="dxa"/>
            <w:noWrap/>
            <w:hideMark/>
          </w:tcPr>
          <w:p w14:paraId="3631AE4B"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c>
          <w:tcPr>
            <w:tcW w:w="1843" w:type="dxa"/>
            <w:noWrap/>
            <w:hideMark/>
          </w:tcPr>
          <w:p w14:paraId="2AF84BD0" w14:textId="04A84F03"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47,21</w:t>
            </w:r>
            <w:r w:rsidR="008E5BC2">
              <w:rPr>
                <w:rFonts w:eastAsia="Times New Roman" w:cs="Arial"/>
                <w:szCs w:val="22"/>
                <w:lang w:val="en-AU" w:eastAsia="en-AU"/>
              </w:rPr>
              <w:t>8</w:t>
            </w:r>
          </w:p>
        </w:tc>
      </w:tr>
      <w:tr w:rsidR="000327DD" w:rsidRPr="000327DD" w14:paraId="4C99DA5B" w14:textId="77777777" w:rsidTr="003F2CE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26F4903" w14:textId="77777777" w:rsidR="000327DD" w:rsidRPr="000327DD" w:rsidRDefault="000327DD" w:rsidP="000327DD">
            <w:pPr>
              <w:rPr>
                <w:rFonts w:eastAsia="Times New Roman" w:cs="Arial"/>
                <w:szCs w:val="22"/>
                <w:lang w:val="en-AU" w:eastAsia="en-AU"/>
              </w:rPr>
            </w:pPr>
            <w:r w:rsidRPr="000327DD">
              <w:rPr>
                <w:rFonts w:eastAsia="Times New Roman" w:cs="Arial"/>
                <w:szCs w:val="22"/>
                <w:lang w:val="en-AU" w:eastAsia="en-AU"/>
              </w:rPr>
              <w:t>Other comprehensive income</w:t>
            </w:r>
          </w:p>
        </w:tc>
        <w:tc>
          <w:tcPr>
            <w:tcW w:w="1367" w:type="dxa"/>
            <w:noWrap/>
            <w:hideMark/>
          </w:tcPr>
          <w:p w14:paraId="02509996" w14:textId="7CF4AEE2"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(5,7</w:t>
            </w:r>
            <w:r w:rsidR="008E5BC2">
              <w:rPr>
                <w:rFonts w:eastAsia="Times New Roman" w:cs="Arial"/>
                <w:szCs w:val="22"/>
                <w:lang w:val="en-AU" w:eastAsia="en-AU"/>
              </w:rPr>
              <w:t>29</w:t>
            </w:r>
            <w:r w:rsidRPr="000327DD">
              <w:rPr>
                <w:rFonts w:eastAsia="Times New Roman" w:cs="Arial"/>
                <w:szCs w:val="22"/>
                <w:lang w:val="en-AU" w:eastAsia="en-AU"/>
              </w:rPr>
              <w:t>)</w:t>
            </w:r>
          </w:p>
        </w:tc>
        <w:tc>
          <w:tcPr>
            <w:tcW w:w="1468" w:type="dxa"/>
            <w:noWrap/>
            <w:hideMark/>
          </w:tcPr>
          <w:p w14:paraId="6920CA63"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(4,830)</w:t>
            </w:r>
          </w:p>
        </w:tc>
        <w:tc>
          <w:tcPr>
            <w:tcW w:w="1417" w:type="dxa"/>
            <w:noWrap/>
            <w:hideMark/>
          </w:tcPr>
          <w:p w14:paraId="2A011FF6" w14:textId="148D9FE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r w:rsidR="00A856E1">
              <w:rPr>
                <w:rFonts w:eastAsia="Times New Roman" w:cs="Arial"/>
                <w:szCs w:val="22"/>
                <w:lang w:val="en-AU" w:eastAsia="en-AU"/>
              </w:rPr>
              <w:t>899</w:t>
            </w:r>
            <w:r w:rsidRPr="000327DD">
              <w:rPr>
                <w:rFonts w:eastAsia="Times New Roman" w:cs="Arial"/>
                <w:szCs w:val="22"/>
                <w:lang w:val="en-AU" w:eastAsia="en-AU"/>
              </w:rPr>
              <w:t>)</w:t>
            </w:r>
          </w:p>
        </w:tc>
        <w:tc>
          <w:tcPr>
            <w:tcW w:w="1843" w:type="dxa"/>
            <w:noWrap/>
            <w:hideMark/>
          </w:tcPr>
          <w:p w14:paraId="0833F710"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r>
      <w:tr w:rsidR="000327DD" w:rsidRPr="000327DD" w14:paraId="5757AFFB" w14:textId="77777777" w:rsidTr="003F2CE4">
        <w:trPr>
          <w:trHeight w:val="232"/>
        </w:trPr>
        <w:tc>
          <w:tcPr>
            <w:cnfStyle w:val="001000000000" w:firstRow="0" w:lastRow="0" w:firstColumn="1" w:lastColumn="0" w:oddVBand="0" w:evenVBand="0" w:oddHBand="0" w:evenHBand="0" w:firstRowFirstColumn="0" w:firstRowLastColumn="0" w:lastRowFirstColumn="0" w:lastRowLastColumn="0"/>
            <w:tcW w:w="3686" w:type="dxa"/>
            <w:noWrap/>
            <w:hideMark/>
          </w:tcPr>
          <w:p w14:paraId="455AC214" w14:textId="77777777" w:rsidR="000327DD" w:rsidRPr="000327DD" w:rsidRDefault="000327DD" w:rsidP="000327DD">
            <w:pPr>
              <w:rPr>
                <w:rFonts w:eastAsia="Times New Roman" w:cs="Arial"/>
                <w:b w:val="0"/>
                <w:bCs w:val="0"/>
                <w:szCs w:val="22"/>
                <w:lang w:val="en-AU" w:eastAsia="en-AU"/>
              </w:rPr>
            </w:pPr>
            <w:r w:rsidRPr="000327DD">
              <w:rPr>
                <w:rFonts w:eastAsia="Times New Roman" w:cs="Arial"/>
                <w:szCs w:val="22"/>
                <w:lang w:val="en-AU" w:eastAsia="en-AU"/>
              </w:rPr>
              <w:t xml:space="preserve">Balance at period end </w:t>
            </w:r>
          </w:p>
        </w:tc>
        <w:tc>
          <w:tcPr>
            <w:tcW w:w="1367" w:type="dxa"/>
            <w:noWrap/>
            <w:hideMark/>
          </w:tcPr>
          <w:p w14:paraId="45D45E1E" w14:textId="77777777" w:rsidR="000327DD" w:rsidRPr="00FB6B0A"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27,523,671</w:t>
            </w:r>
          </w:p>
        </w:tc>
        <w:tc>
          <w:tcPr>
            <w:tcW w:w="1468" w:type="dxa"/>
            <w:noWrap/>
            <w:hideMark/>
          </w:tcPr>
          <w:p w14:paraId="7F2B9177" w14:textId="77777777" w:rsidR="000327DD" w:rsidRPr="00FB6B0A"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13,942,577</w:t>
            </w:r>
          </w:p>
        </w:tc>
        <w:tc>
          <w:tcPr>
            <w:tcW w:w="1417" w:type="dxa"/>
            <w:noWrap/>
            <w:hideMark/>
          </w:tcPr>
          <w:p w14:paraId="45788A00" w14:textId="77777777" w:rsidR="000327DD" w:rsidRPr="00FB6B0A"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(9,059)</w:t>
            </w:r>
          </w:p>
        </w:tc>
        <w:tc>
          <w:tcPr>
            <w:tcW w:w="1843" w:type="dxa"/>
            <w:noWrap/>
            <w:hideMark/>
          </w:tcPr>
          <w:p w14:paraId="3C5300EF" w14:textId="77777777" w:rsidR="000327DD" w:rsidRPr="00FB6B0A"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13,590,153</w:t>
            </w:r>
          </w:p>
        </w:tc>
      </w:tr>
      <w:tr w:rsidR="000327DD" w:rsidRPr="000327DD" w14:paraId="33201DD1" w14:textId="77777777" w:rsidTr="003F2CE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2E822458" w14:textId="77777777" w:rsidR="000327DD" w:rsidRDefault="000327DD" w:rsidP="000327DD">
            <w:pPr>
              <w:jc w:val="right"/>
              <w:rPr>
                <w:rFonts w:eastAsia="Times New Roman" w:cs="Arial"/>
                <w:szCs w:val="22"/>
                <w:lang w:val="en-AU" w:eastAsia="en-AU"/>
              </w:rPr>
            </w:pPr>
          </w:p>
          <w:p w14:paraId="5A07243F" w14:textId="1CF64357" w:rsidR="00C8017C" w:rsidRPr="000327DD" w:rsidRDefault="00C8017C" w:rsidP="000327DD">
            <w:pPr>
              <w:jc w:val="right"/>
              <w:rPr>
                <w:rFonts w:eastAsia="Times New Roman" w:cs="Arial"/>
                <w:szCs w:val="22"/>
                <w:lang w:val="en-AU" w:eastAsia="en-AU"/>
              </w:rPr>
            </w:pPr>
          </w:p>
        </w:tc>
        <w:tc>
          <w:tcPr>
            <w:tcW w:w="1367" w:type="dxa"/>
            <w:noWrap/>
            <w:hideMark/>
          </w:tcPr>
          <w:p w14:paraId="5F066C96" w14:textId="77777777" w:rsidR="000327DD" w:rsidRPr="000327DD" w:rsidRDefault="000327DD" w:rsidP="000327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n-AU" w:eastAsia="en-AU"/>
              </w:rPr>
            </w:pPr>
          </w:p>
        </w:tc>
        <w:tc>
          <w:tcPr>
            <w:tcW w:w="1468" w:type="dxa"/>
            <w:noWrap/>
            <w:hideMark/>
          </w:tcPr>
          <w:p w14:paraId="14809F52" w14:textId="77777777" w:rsidR="000327DD" w:rsidRPr="000327DD" w:rsidRDefault="000327DD" w:rsidP="000327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n-AU" w:eastAsia="en-AU"/>
              </w:rPr>
            </w:pPr>
          </w:p>
        </w:tc>
        <w:tc>
          <w:tcPr>
            <w:tcW w:w="1417" w:type="dxa"/>
            <w:noWrap/>
            <w:hideMark/>
          </w:tcPr>
          <w:p w14:paraId="256CC4B0" w14:textId="77777777" w:rsidR="000327DD" w:rsidRPr="000327DD" w:rsidRDefault="000327DD" w:rsidP="000327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n-AU" w:eastAsia="en-AU"/>
              </w:rPr>
            </w:pPr>
          </w:p>
        </w:tc>
        <w:tc>
          <w:tcPr>
            <w:tcW w:w="1843" w:type="dxa"/>
            <w:noWrap/>
            <w:hideMark/>
          </w:tcPr>
          <w:p w14:paraId="58C25ABE" w14:textId="77777777" w:rsidR="000327DD" w:rsidRPr="000327DD" w:rsidRDefault="000327DD" w:rsidP="000327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n-AU" w:eastAsia="en-AU"/>
              </w:rPr>
            </w:pPr>
          </w:p>
        </w:tc>
      </w:tr>
      <w:tr w:rsidR="000327DD" w:rsidRPr="000327DD" w14:paraId="7307CACF" w14:textId="77777777" w:rsidTr="00F2294A">
        <w:trPr>
          <w:trHeight w:val="1057"/>
        </w:trPr>
        <w:tc>
          <w:tcPr>
            <w:cnfStyle w:val="001000000000" w:firstRow="0" w:lastRow="0" w:firstColumn="1" w:lastColumn="0" w:oddVBand="0" w:evenVBand="0" w:oddHBand="0" w:evenHBand="0" w:firstRowFirstColumn="0" w:firstRowLastColumn="0" w:lastRowFirstColumn="0" w:lastRowLastColumn="0"/>
            <w:tcW w:w="3686" w:type="dxa"/>
            <w:shd w:val="clear" w:color="auto" w:fill="000000" w:themeFill="text1"/>
            <w:hideMark/>
          </w:tcPr>
          <w:p w14:paraId="722498E4" w14:textId="77777777" w:rsidR="000327DD" w:rsidRPr="000327DD" w:rsidRDefault="000327DD" w:rsidP="000327DD">
            <w:pPr>
              <w:rPr>
                <w:rFonts w:eastAsia="Times New Roman" w:cs="Arial"/>
                <w:b w:val="0"/>
                <w:bCs w:val="0"/>
                <w:szCs w:val="22"/>
                <w:lang w:val="en-AU" w:eastAsia="en-AU"/>
              </w:rPr>
            </w:pPr>
            <w:r w:rsidRPr="000327DD">
              <w:rPr>
                <w:rFonts w:eastAsia="Times New Roman" w:cs="Arial"/>
                <w:szCs w:val="22"/>
                <w:lang w:val="en-AU" w:eastAsia="en-AU"/>
              </w:rPr>
              <w:t>For the approved annual budget</w:t>
            </w:r>
            <w:r w:rsidRPr="000327DD">
              <w:rPr>
                <w:rFonts w:eastAsia="Times New Roman" w:cs="Arial"/>
                <w:szCs w:val="22"/>
                <w:lang w:val="en-AU" w:eastAsia="en-AU"/>
              </w:rPr>
              <w:br/>
              <w:t>June 2023</w:t>
            </w:r>
          </w:p>
        </w:tc>
        <w:tc>
          <w:tcPr>
            <w:tcW w:w="1367" w:type="dxa"/>
            <w:shd w:val="clear" w:color="auto" w:fill="000000" w:themeFill="text1"/>
            <w:noWrap/>
            <w:hideMark/>
          </w:tcPr>
          <w:p w14:paraId="010A44FD"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Total</w:t>
            </w:r>
          </w:p>
        </w:tc>
        <w:tc>
          <w:tcPr>
            <w:tcW w:w="1468" w:type="dxa"/>
            <w:shd w:val="clear" w:color="auto" w:fill="000000" w:themeFill="text1"/>
            <w:hideMark/>
          </w:tcPr>
          <w:p w14:paraId="02054F97"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 xml:space="preserve">Asset </w:t>
            </w:r>
            <w:r w:rsidRPr="000327DD">
              <w:rPr>
                <w:rFonts w:eastAsia="Times New Roman" w:cs="Arial"/>
                <w:b/>
                <w:bCs/>
                <w:szCs w:val="22"/>
                <w:lang w:val="en-AU" w:eastAsia="en-AU"/>
              </w:rPr>
              <w:br/>
              <w:t xml:space="preserve">revaluation </w:t>
            </w:r>
            <w:r w:rsidRPr="000327DD">
              <w:rPr>
                <w:rFonts w:eastAsia="Times New Roman" w:cs="Arial"/>
                <w:b/>
                <w:bCs/>
                <w:szCs w:val="22"/>
                <w:lang w:val="en-AU" w:eastAsia="en-AU"/>
              </w:rPr>
              <w:br/>
              <w:t>surplus</w:t>
            </w:r>
          </w:p>
        </w:tc>
        <w:tc>
          <w:tcPr>
            <w:tcW w:w="1417" w:type="dxa"/>
            <w:shd w:val="clear" w:color="auto" w:fill="000000" w:themeFill="text1"/>
            <w:hideMark/>
          </w:tcPr>
          <w:p w14:paraId="20CB17BE"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 xml:space="preserve">Cash flow and cost of hedging reserves </w:t>
            </w:r>
          </w:p>
        </w:tc>
        <w:tc>
          <w:tcPr>
            <w:tcW w:w="1843" w:type="dxa"/>
            <w:shd w:val="clear" w:color="auto" w:fill="000000" w:themeFill="text1"/>
            <w:hideMark/>
          </w:tcPr>
          <w:p w14:paraId="2A5AA8BB"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Accumulated surplus</w:t>
            </w:r>
          </w:p>
        </w:tc>
      </w:tr>
      <w:tr w:rsidR="000327DD" w:rsidRPr="000327DD" w14:paraId="3643DA92" w14:textId="77777777" w:rsidTr="003F2CE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CFC6A97" w14:textId="77777777" w:rsidR="000327DD" w:rsidRPr="000327DD" w:rsidRDefault="000327DD" w:rsidP="000327DD">
            <w:pPr>
              <w:rPr>
                <w:rFonts w:eastAsia="Times New Roman" w:cs="Arial"/>
                <w:szCs w:val="22"/>
                <w:lang w:val="en-AU" w:eastAsia="en-AU"/>
              </w:rPr>
            </w:pPr>
            <w:r w:rsidRPr="000327DD">
              <w:rPr>
                <w:rFonts w:eastAsia="Times New Roman" w:cs="Arial"/>
                <w:szCs w:val="22"/>
                <w:lang w:val="en-AU" w:eastAsia="en-AU"/>
              </w:rPr>
              <w:t> </w:t>
            </w:r>
          </w:p>
        </w:tc>
        <w:tc>
          <w:tcPr>
            <w:tcW w:w="1367" w:type="dxa"/>
            <w:noWrap/>
            <w:hideMark/>
          </w:tcPr>
          <w:p w14:paraId="4A91D6A1"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$000</w:t>
            </w:r>
          </w:p>
        </w:tc>
        <w:tc>
          <w:tcPr>
            <w:tcW w:w="1468" w:type="dxa"/>
            <w:noWrap/>
            <w:hideMark/>
          </w:tcPr>
          <w:p w14:paraId="57E3CC08"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$000</w:t>
            </w:r>
          </w:p>
        </w:tc>
        <w:tc>
          <w:tcPr>
            <w:tcW w:w="1417" w:type="dxa"/>
            <w:noWrap/>
            <w:hideMark/>
          </w:tcPr>
          <w:p w14:paraId="59173E2C"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$000</w:t>
            </w:r>
          </w:p>
        </w:tc>
        <w:tc>
          <w:tcPr>
            <w:tcW w:w="1843" w:type="dxa"/>
            <w:noWrap/>
            <w:hideMark/>
          </w:tcPr>
          <w:p w14:paraId="6BB91412"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0327DD">
              <w:rPr>
                <w:rFonts w:eastAsia="Times New Roman" w:cs="Arial"/>
                <w:b/>
                <w:bCs/>
                <w:szCs w:val="22"/>
                <w:lang w:val="en-AU" w:eastAsia="en-AU"/>
              </w:rPr>
              <w:t>$000</w:t>
            </w:r>
          </w:p>
        </w:tc>
      </w:tr>
      <w:tr w:rsidR="000327DD" w:rsidRPr="000327DD" w14:paraId="39D8F386" w14:textId="77777777" w:rsidTr="003F2CE4">
        <w:trPr>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424D965" w14:textId="77777777" w:rsidR="000327DD" w:rsidRPr="000327DD" w:rsidRDefault="000327DD" w:rsidP="000327DD">
            <w:pPr>
              <w:jc w:val="right"/>
              <w:rPr>
                <w:rFonts w:eastAsia="Times New Roman" w:cs="Arial"/>
                <w:b w:val="0"/>
                <w:bCs w:val="0"/>
                <w:szCs w:val="22"/>
                <w:lang w:val="en-AU" w:eastAsia="en-AU"/>
              </w:rPr>
            </w:pPr>
          </w:p>
        </w:tc>
        <w:tc>
          <w:tcPr>
            <w:tcW w:w="1367" w:type="dxa"/>
            <w:noWrap/>
            <w:hideMark/>
          </w:tcPr>
          <w:p w14:paraId="74B4E708" w14:textId="77777777" w:rsidR="000327DD" w:rsidRPr="000327DD" w:rsidRDefault="000327DD" w:rsidP="00032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n-AU" w:eastAsia="en-AU"/>
              </w:rPr>
            </w:pPr>
          </w:p>
        </w:tc>
        <w:tc>
          <w:tcPr>
            <w:tcW w:w="1468" w:type="dxa"/>
            <w:noWrap/>
            <w:hideMark/>
          </w:tcPr>
          <w:p w14:paraId="5B101AF6" w14:textId="77777777" w:rsidR="000327DD" w:rsidRPr="000327DD" w:rsidRDefault="000327DD" w:rsidP="00032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n-AU" w:eastAsia="en-AU"/>
              </w:rPr>
            </w:pPr>
          </w:p>
        </w:tc>
        <w:tc>
          <w:tcPr>
            <w:tcW w:w="1417" w:type="dxa"/>
            <w:noWrap/>
            <w:hideMark/>
          </w:tcPr>
          <w:p w14:paraId="13E72F5A" w14:textId="77777777" w:rsidR="000327DD" w:rsidRPr="000327DD" w:rsidRDefault="000327DD" w:rsidP="00032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n-AU" w:eastAsia="en-AU"/>
              </w:rPr>
            </w:pPr>
          </w:p>
        </w:tc>
        <w:tc>
          <w:tcPr>
            <w:tcW w:w="1843" w:type="dxa"/>
            <w:noWrap/>
            <w:hideMark/>
          </w:tcPr>
          <w:p w14:paraId="27105D53" w14:textId="77777777" w:rsidR="000327DD" w:rsidRPr="000327DD" w:rsidRDefault="000327DD" w:rsidP="00032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n-AU" w:eastAsia="en-AU"/>
              </w:rPr>
            </w:pPr>
          </w:p>
        </w:tc>
      </w:tr>
      <w:tr w:rsidR="000327DD" w:rsidRPr="000327DD" w14:paraId="095F022F" w14:textId="77777777" w:rsidTr="003F2CE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53032243" w14:textId="77777777" w:rsidR="000327DD" w:rsidRPr="000327DD" w:rsidRDefault="000327DD" w:rsidP="000327DD">
            <w:pPr>
              <w:rPr>
                <w:rFonts w:eastAsia="Times New Roman" w:cs="Arial"/>
                <w:szCs w:val="22"/>
                <w:lang w:val="en-AU" w:eastAsia="en-AU"/>
              </w:rPr>
            </w:pPr>
            <w:r w:rsidRPr="000327DD">
              <w:rPr>
                <w:rFonts w:eastAsia="Times New Roman" w:cs="Arial"/>
                <w:szCs w:val="22"/>
                <w:lang w:val="en-AU" w:eastAsia="en-AU"/>
              </w:rPr>
              <w:t>Balance at beginning of year</w:t>
            </w:r>
          </w:p>
        </w:tc>
        <w:tc>
          <w:tcPr>
            <w:tcW w:w="1367" w:type="dxa"/>
            <w:noWrap/>
            <w:hideMark/>
          </w:tcPr>
          <w:p w14:paraId="3A46423A"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27,482,182</w:t>
            </w:r>
          </w:p>
        </w:tc>
        <w:tc>
          <w:tcPr>
            <w:tcW w:w="1468" w:type="dxa"/>
            <w:noWrap/>
            <w:hideMark/>
          </w:tcPr>
          <w:p w14:paraId="34677566"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13,947,407</w:t>
            </w:r>
          </w:p>
        </w:tc>
        <w:tc>
          <w:tcPr>
            <w:tcW w:w="1417" w:type="dxa"/>
            <w:noWrap/>
            <w:hideMark/>
          </w:tcPr>
          <w:p w14:paraId="000FAB17"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(8,159)</w:t>
            </w:r>
          </w:p>
        </w:tc>
        <w:tc>
          <w:tcPr>
            <w:tcW w:w="1843" w:type="dxa"/>
            <w:noWrap/>
            <w:hideMark/>
          </w:tcPr>
          <w:p w14:paraId="74234D72"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13,542,934</w:t>
            </w:r>
          </w:p>
        </w:tc>
      </w:tr>
      <w:tr w:rsidR="000327DD" w:rsidRPr="000327DD" w14:paraId="43B70FEA" w14:textId="77777777" w:rsidTr="003F2CE4">
        <w:trPr>
          <w:trHeight w:val="26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1CE37841" w14:textId="77777777" w:rsidR="000327DD" w:rsidRPr="000327DD" w:rsidRDefault="000327DD" w:rsidP="000327DD">
            <w:pPr>
              <w:rPr>
                <w:rFonts w:eastAsia="Times New Roman" w:cs="Arial"/>
                <w:szCs w:val="22"/>
                <w:lang w:val="en-AU" w:eastAsia="en-AU"/>
              </w:rPr>
            </w:pPr>
            <w:r w:rsidRPr="000327DD">
              <w:rPr>
                <w:rFonts w:eastAsia="Times New Roman" w:cs="Arial"/>
                <w:szCs w:val="22"/>
                <w:lang w:val="en-AU" w:eastAsia="en-AU"/>
              </w:rPr>
              <w:t>Increase in operating capability</w:t>
            </w:r>
          </w:p>
        </w:tc>
        <w:tc>
          <w:tcPr>
            <w:tcW w:w="1367" w:type="dxa"/>
            <w:noWrap/>
            <w:hideMark/>
          </w:tcPr>
          <w:p w14:paraId="5D890B69"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480,951</w:t>
            </w:r>
          </w:p>
        </w:tc>
        <w:tc>
          <w:tcPr>
            <w:tcW w:w="1468" w:type="dxa"/>
            <w:noWrap/>
            <w:hideMark/>
          </w:tcPr>
          <w:p w14:paraId="6D87A504"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c>
          <w:tcPr>
            <w:tcW w:w="1417" w:type="dxa"/>
            <w:noWrap/>
            <w:hideMark/>
          </w:tcPr>
          <w:p w14:paraId="07D27D8C"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c>
          <w:tcPr>
            <w:tcW w:w="1843" w:type="dxa"/>
            <w:noWrap/>
            <w:hideMark/>
          </w:tcPr>
          <w:p w14:paraId="31271756" w14:textId="77777777" w:rsidR="000327DD" w:rsidRPr="000327DD"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480,951</w:t>
            </w:r>
          </w:p>
        </w:tc>
      </w:tr>
      <w:tr w:rsidR="000327DD" w:rsidRPr="000327DD" w14:paraId="6358A175" w14:textId="77777777" w:rsidTr="003F2CE4">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0EA5D65" w14:textId="77777777" w:rsidR="000327DD" w:rsidRPr="000327DD" w:rsidRDefault="000327DD" w:rsidP="000327DD">
            <w:pPr>
              <w:rPr>
                <w:rFonts w:eastAsia="Times New Roman" w:cs="Arial"/>
                <w:szCs w:val="22"/>
                <w:lang w:val="en-AU" w:eastAsia="en-AU"/>
              </w:rPr>
            </w:pPr>
            <w:r w:rsidRPr="000327DD">
              <w:rPr>
                <w:rFonts w:eastAsia="Times New Roman" w:cs="Arial"/>
                <w:szCs w:val="22"/>
                <w:lang w:val="en-AU" w:eastAsia="en-AU"/>
              </w:rPr>
              <w:t>Other comprehensive income</w:t>
            </w:r>
          </w:p>
        </w:tc>
        <w:tc>
          <w:tcPr>
            <w:tcW w:w="1367" w:type="dxa"/>
            <w:noWrap/>
            <w:hideMark/>
          </w:tcPr>
          <w:p w14:paraId="1A0DE048"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474,288</w:t>
            </w:r>
          </w:p>
        </w:tc>
        <w:tc>
          <w:tcPr>
            <w:tcW w:w="1468" w:type="dxa"/>
            <w:noWrap/>
            <w:hideMark/>
          </w:tcPr>
          <w:p w14:paraId="2161F5E9"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466,129</w:t>
            </w:r>
          </w:p>
        </w:tc>
        <w:tc>
          <w:tcPr>
            <w:tcW w:w="1417" w:type="dxa"/>
            <w:noWrap/>
            <w:hideMark/>
          </w:tcPr>
          <w:p w14:paraId="4623B79F"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8,159</w:t>
            </w:r>
          </w:p>
        </w:tc>
        <w:tc>
          <w:tcPr>
            <w:tcW w:w="1843" w:type="dxa"/>
            <w:noWrap/>
            <w:hideMark/>
          </w:tcPr>
          <w:p w14:paraId="63482FA4" w14:textId="77777777" w:rsidR="000327DD" w:rsidRPr="000327DD" w:rsidRDefault="000327DD" w:rsidP="000327DD">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r>
      <w:tr w:rsidR="000327DD" w:rsidRPr="000327DD" w14:paraId="4A2486CF" w14:textId="77777777" w:rsidTr="003F2CE4">
        <w:trPr>
          <w:trHeight w:val="232"/>
        </w:trPr>
        <w:tc>
          <w:tcPr>
            <w:cnfStyle w:val="001000000000" w:firstRow="0" w:lastRow="0" w:firstColumn="1" w:lastColumn="0" w:oddVBand="0" w:evenVBand="0" w:oddHBand="0" w:evenHBand="0" w:firstRowFirstColumn="0" w:firstRowLastColumn="0" w:lastRowFirstColumn="0" w:lastRowLastColumn="0"/>
            <w:tcW w:w="3686" w:type="dxa"/>
            <w:noWrap/>
            <w:hideMark/>
          </w:tcPr>
          <w:p w14:paraId="5A370182" w14:textId="77777777" w:rsidR="000327DD" w:rsidRPr="000327DD" w:rsidRDefault="000327DD" w:rsidP="000327DD">
            <w:pPr>
              <w:rPr>
                <w:rFonts w:eastAsia="Times New Roman" w:cs="Arial"/>
                <w:b w:val="0"/>
                <w:bCs w:val="0"/>
                <w:szCs w:val="22"/>
                <w:lang w:val="en-AU" w:eastAsia="en-AU"/>
              </w:rPr>
            </w:pPr>
            <w:r w:rsidRPr="000327DD">
              <w:rPr>
                <w:rFonts w:eastAsia="Times New Roman" w:cs="Arial"/>
                <w:szCs w:val="22"/>
                <w:lang w:val="en-AU" w:eastAsia="en-AU"/>
              </w:rPr>
              <w:t xml:space="preserve">Balance at period end </w:t>
            </w:r>
          </w:p>
        </w:tc>
        <w:tc>
          <w:tcPr>
            <w:tcW w:w="1367" w:type="dxa"/>
            <w:noWrap/>
            <w:hideMark/>
          </w:tcPr>
          <w:p w14:paraId="0B41C9AC" w14:textId="77777777" w:rsidR="000327DD" w:rsidRPr="00FB6B0A"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28,437,421</w:t>
            </w:r>
          </w:p>
        </w:tc>
        <w:tc>
          <w:tcPr>
            <w:tcW w:w="1468" w:type="dxa"/>
            <w:noWrap/>
            <w:hideMark/>
          </w:tcPr>
          <w:p w14:paraId="75E27F1B" w14:textId="77777777" w:rsidR="000327DD" w:rsidRPr="00FB6B0A"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14,413,536</w:t>
            </w:r>
          </w:p>
        </w:tc>
        <w:tc>
          <w:tcPr>
            <w:tcW w:w="1417" w:type="dxa"/>
            <w:noWrap/>
            <w:hideMark/>
          </w:tcPr>
          <w:p w14:paraId="0D3334C9" w14:textId="77777777" w:rsidR="000327DD" w:rsidRPr="00FB6B0A"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w:t>
            </w:r>
          </w:p>
        </w:tc>
        <w:tc>
          <w:tcPr>
            <w:tcW w:w="1843" w:type="dxa"/>
            <w:noWrap/>
            <w:hideMark/>
          </w:tcPr>
          <w:p w14:paraId="007CADCF" w14:textId="77777777" w:rsidR="000327DD" w:rsidRPr="00FB6B0A" w:rsidRDefault="000327DD" w:rsidP="000327D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14,023,885</w:t>
            </w:r>
          </w:p>
        </w:tc>
      </w:tr>
    </w:tbl>
    <w:p w14:paraId="75906183" w14:textId="77777777" w:rsidR="00CE184B" w:rsidRPr="00CE184B" w:rsidRDefault="00CE184B" w:rsidP="00386B12">
      <w:pPr>
        <w:rPr>
          <w:rFonts w:cs="Arial"/>
          <w:b/>
          <w:bCs/>
          <w:szCs w:val="22"/>
        </w:rPr>
      </w:pPr>
    </w:p>
    <w:p w14:paraId="16DCA871" w14:textId="31DFE63C" w:rsidR="00386B12" w:rsidRDefault="00386B12" w:rsidP="00386B12">
      <w:pPr>
        <w:rPr>
          <w:rFonts w:cs="Arial"/>
          <w:b/>
          <w:bCs/>
          <w:sz w:val="20"/>
          <w:szCs w:val="20"/>
        </w:rPr>
      </w:pPr>
      <w:r>
        <w:rPr>
          <w:rFonts w:cs="Arial"/>
          <w:b/>
          <w:bCs/>
          <w:sz w:val="20"/>
          <w:szCs w:val="20"/>
        </w:rPr>
        <w:br w:type="page"/>
      </w:r>
    </w:p>
    <w:p w14:paraId="32224C49" w14:textId="7ABB7F0C" w:rsidR="00981E62" w:rsidRPr="00B24360" w:rsidRDefault="00981E62" w:rsidP="0057257F">
      <w:pPr>
        <w:pStyle w:val="Heading3"/>
        <w:rPr>
          <w:sz w:val="36"/>
          <w:szCs w:val="40"/>
        </w:rPr>
      </w:pPr>
      <w:bookmarkStart w:id="14" w:name="_Toc111126249"/>
      <w:bookmarkStart w:id="15" w:name="_Toc127436752"/>
      <w:r w:rsidRPr="00B24360">
        <w:lastRenderedPageBreak/>
        <w:t>Statement of cash flows</w:t>
      </w:r>
      <w:bookmarkEnd w:id="14"/>
      <w:bookmarkEnd w:id="15"/>
    </w:p>
    <w:p w14:paraId="2A36C01C" w14:textId="5107A30A" w:rsidR="00386B12" w:rsidRPr="003F2CE4" w:rsidRDefault="00386B12" w:rsidP="00386B12">
      <w:pPr>
        <w:rPr>
          <w:rFonts w:cs="Arial"/>
          <w:b/>
          <w:bCs/>
          <w:color w:val="FFFFFF" w:themeColor="background1"/>
          <w:szCs w:val="22"/>
        </w:rPr>
      </w:pPr>
    </w:p>
    <w:tbl>
      <w:tblPr>
        <w:tblStyle w:val="ListTable3"/>
        <w:tblW w:w="9639" w:type="dxa"/>
        <w:tblLook w:val="04A0" w:firstRow="1" w:lastRow="0" w:firstColumn="1" w:lastColumn="0" w:noHBand="0" w:noVBand="1"/>
        <w:tblCaption w:val="Statement of cash flows"/>
        <w:tblDescription w:val="For the period ended September 2022.&#10;Year to date actual, the following amounts are rounded to the nearest thousand.&#10;Approved annual budget 2022 – 23, the following amounts are rounded to the nearest thousand.&#10;Year to date actual September 2021, the following amounts are rounded to the nearest thousand.&#10;Cash flows from operating activities&#10;Receipts&#10;Rates and utility charges (367,124), (1,317,258), (342,329)&#10;Fees and charges (43,519), (239,917), (42,291)&#10;Public transport revenue (99,090), (372,964), (99,166)&#10;Subsidies and grants (7,312), (124,425), (11,340)&#10;Contributions (232), (1,639), (193)&#10;GST received from Australian Taxation Office (29,837), (nil), (26,584)&#10;Interest (2,591), (4,099), (814)&#10;Dividends and participation returns received, (15,000), (144,209), (40,000)&#10;Other (69,972), (236,015), (55,933)&#10;total receipts (634,677), (2,440,526), (618,650)&#10;Payments&#10;Employee costs (185,937) (822,449) (171,885)&#10;Materials and services (190,400) (946,061) (214,324)&#10;Finance costs (23,500) (100,272) (21,439)&#10;Other (11,221) (51,057) (11,225)&#10;total payments (411,058), (1,919,839), (418,873)&#10;Net cash from operating activities (223,619), (520,687), (199,777)&#10;Cash flows from investing activities&#10;&#10;Proceeds from disposal of property, plant and equipment and intangibles (17,313), (27,846), (21,114)&#10;Payments for property, plant, equipment and intangibles (245,556), (1,411,646), (157,278)&#10;Receipts for capital contributions, donations, grants, subsidies and other capital revenue (164,088), (532,385), (24,443)&#10;Net cash used in investing activities (64,155) (851,415) (111,721)&#10;Cash flows from financing activities&#10;Net proceeds from working capital facility (nil), (nil), (114,000)&#10;Proceeds from borrowings (nil), (326,000), (nil)&#10;Repayment of borrowings (22,270) (90,081) (17,261)&#10;Repayment of lease liabilities (20,687) (83,353) (21,220)&#10;Net cash provided by (used in) financing&#10;activities (42,957), (152,566), (75,519)&#10;Net increase (decrease) in cash and cash&#10;equivalents held (116,507), (decrease of 178,162), (163,575)&#10;Cash and cash equivalents at beginning of year (529,013), (529,013), (100,981)&#10;Cash and cash equivalents at period end (645,520), (350,851), (264,556)&#10;"/>
      </w:tblPr>
      <w:tblGrid>
        <w:gridCol w:w="5245"/>
        <w:gridCol w:w="1418"/>
        <w:gridCol w:w="1842"/>
        <w:gridCol w:w="1354"/>
      </w:tblGrid>
      <w:tr w:rsidR="003F2CE4" w:rsidRPr="003F2CE4" w14:paraId="2D491A28" w14:textId="77777777" w:rsidTr="00302ABA">
        <w:trPr>
          <w:cnfStyle w:val="100000000000" w:firstRow="1" w:lastRow="0" w:firstColumn="0" w:lastColumn="0" w:oddVBand="0" w:evenVBand="0" w:oddHBand="0" w:evenHBand="0" w:firstRowFirstColumn="0" w:firstRowLastColumn="0" w:lastRowFirstColumn="0" w:lastRowLastColumn="0"/>
          <w:trHeight w:val="828"/>
        </w:trPr>
        <w:tc>
          <w:tcPr>
            <w:cnfStyle w:val="001000000100" w:firstRow="0" w:lastRow="0" w:firstColumn="1" w:lastColumn="0" w:oddVBand="0" w:evenVBand="0" w:oddHBand="0" w:evenHBand="0" w:firstRowFirstColumn="1" w:firstRowLastColumn="0" w:lastRowFirstColumn="0" w:lastRowLastColumn="0"/>
            <w:tcW w:w="5245" w:type="dxa"/>
            <w:hideMark/>
          </w:tcPr>
          <w:p w14:paraId="6D7BC455" w14:textId="56117B62" w:rsidR="00410A60" w:rsidRPr="003F2CE4" w:rsidRDefault="00410A60" w:rsidP="00410A60">
            <w:pPr>
              <w:rPr>
                <w:rFonts w:eastAsia="Times New Roman" w:cs="Arial"/>
                <w:b w:val="0"/>
                <w:bCs w:val="0"/>
                <w:szCs w:val="22"/>
                <w:lang w:val="en-AU" w:eastAsia="en-AU"/>
              </w:rPr>
            </w:pPr>
            <w:r w:rsidRPr="003F2CE4">
              <w:rPr>
                <w:rFonts w:eastAsia="Times New Roman" w:cs="Arial"/>
                <w:szCs w:val="22"/>
                <w:lang w:val="en-AU" w:eastAsia="en-AU"/>
              </w:rPr>
              <w:t>For the period ended</w:t>
            </w:r>
            <w:r w:rsidRPr="003F2CE4">
              <w:rPr>
                <w:rFonts w:eastAsia="Times New Roman" w:cs="Arial"/>
                <w:szCs w:val="22"/>
                <w:lang w:val="en-AU" w:eastAsia="en-AU"/>
              </w:rPr>
              <w:br/>
            </w:r>
            <w:r w:rsidR="00EA7DAA" w:rsidRPr="003F2CE4">
              <w:rPr>
                <w:rFonts w:eastAsia="Times New Roman" w:cs="Arial"/>
                <w:szCs w:val="22"/>
                <w:lang w:val="en-AU" w:eastAsia="en-AU"/>
              </w:rPr>
              <w:t>September</w:t>
            </w:r>
            <w:r w:rsidRPr="003F2CE4">
              <w:rPr>
                <w:rFonts w:eastAsia="Times New Roman" w:cs="Arial"/>
                <w:szCs w:val="22"/>
                <w:lang w:val="en-AU" w:eastAsia="en-AU"/>
              </w:rPr>
              <w:t xml:space="preserve"> 2022</w:t>
            </w:r>
          </w:p>
        </w:tc>
        <w:tc>
          <w:tcPr>
            <w:tcW w:w="1418" w:type="dxa"/>
            <w:hideMark/>
          </w:tcPr>
          <w:p w14:paraId="4027F01C" w14:textId="77777777" w:rsidR="00410A60" w:rsidRPr="003F2CE4" w:rsidRDefault="00410A60" w:rsidP="00410A60">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 xml:space="preserve">YTD actual </w:t>
            </w:r>
          </w:p>
        </w:tc>
        <w:tc>
          <w:tcPr>
            <w:tcW w:w="1842" w:type="dxa"/>
            <w:hideMark/>
          </w:tcPr>
          <w:p w14:paraId="57332621" w14:textId="77777777" w:rsidR="00410A60" w:rsidRPr="003F2CE4" w:rsidRDefault="00410A60" w:rsidP="00410A60">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 xml:space="preserve">Approved annual budget </w:t>
            </w:r>
            <w:r w:rsidRPr="003F2CE4">
              <w:rPr>
                <w:rFonts w:eastAsia="Times New Roman" w:cs="Arial"/>
                <w:szCs w:val="22"/>
                <w:lang w:val="en-AU" w:eastAsia="en-AU"/>
              </w:rPr>
              <w:br/>
              <w:t>2022-23</w:t>
            </w:r>
          </w:p>
        </w:tc>
        <w:tc>
          <w:tcPr>
            <w:tcW w:w="1134" w:type="dxa"/>
            <w:hideMark/>
          </w:tcPr>
          <w:p w14:paraId="604AB686" w14:textId="25D221AE" w:rsidR="00410A60" w:rsidRPr="003F2CE4" w:rsidRDefault="00410A60" w:rsidP="00410A60">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 xml:space="preserve">YTD actual </w:t>
            </w:r>
            <w:r w:rsidR="00EA7DAA" w:rsidRPr="003F2CE4">
              <w:rPr>
                <w:rFonts w:eastAsia="Times New Roman" w:cs="Arial"/>
                <w:szCs w:val="22"/>
                <w:lang w:val="en-AU" w:eastAsia="en-AU"/>
              </w:rPr>
              <w:t>September</w:t>
            </w:r>
            <w:r w:rsidRPr="003F2CE4">
              <w:rPr>
                <w:rFonts w:eastAsia="Times New Roman" w:cs="Arial"/>
                <w:szCs w:val="22"/>
                <w:lang w:val="en-AU" w:eastAsia="en-AU"/>
              </w:rPr>
              <w:t xml:space="preserve"> 2021</w:t>
            </w:r>
          </w:p>
        </w:tc>
      </w:tr>
      <w:tr w:rsidR="00410A60" w:rsidRPr="00410A60" w14:paraId="2F47C91B" w14:textId="77777777" w:rsidTr="00302A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245" w:type="dxa"/>
            <w:noWrap/>
            <w:hideMark/>
          </w:tcPr>
          <w:p w14:paraId="687D4473" w14:textId="77777777" w:rsidR="00410A60" w:rsidRPr="00410A60" w:rsidRDefault="00410A60" w:rsidP="00410A60">
            <w:pPr>
              <w:rPr>
                <w:rFonts w:eastAsia="Times New Roman" w:cs="Arial"/>
                <w:b w:val="0"/>
                <w:bCs w:val="0"/>
                <w:szCs w:val="22"/>
                <w:lang w:val="en-AU" w:eastAsia="en-AU"/>
              </w:rPr>
            </w:pPr>
            <w:r w:rsidRPr="00410A60">
              <w:rPr>
                <w:rFonts w:eastAsia="Times New Roman" w:cs="Arial"/>
                <w:szCs w:val="22"/>
                <w:lang w:val="en-AU" w:eastAsia="en-AU"/>
              </w:rPr>
              <w:t> </w:t>
            </w:r>
          </w:p>
        </w:tc>
        <w:tc>
          <w:tcPr>
            <w:tcW w:w="1418" w:type="dxa"/>
            <w:noWrap/>
            <w:hideMark/>
          </w:tcPr>
          <w:p w14:paraId="28B7DA67" w14:textId="77777777" w:rsidR="00410A60" w:rsidRPr="00410A60" w:rsidRDefault="00410A60"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410A60">
              <w:rPr>
                <w:rFonts w:eastAsia="Times New Roman" w:cs="Arial"/>
                <w:b/>
                <w:bCs/>
                <w:szCs w:val="22"/>
                <w:lang w:val="en-AU" w:eastAsia="en-AU"/>
              </w:rPr>
              <w:t>$000</w:t>
            </w:r>
          </w:p>
        </w:tc>
        <w:tc>
          <w:tcPr>
            <w:tcW w:w="1842" w:type="dxa"/>
            <w:noWrap/>
            <w:hideMark/>
          </w:tcPr>
          <w:p w14:paraId="3042671A" w14:textId="77777777" w:rsidR="00410A60" w:rsidRPr="00410A60" w:rsidRDefault="00410A60"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410A60">
              <w:rPr>
                <w:rFonts w:eastAsia="Times New Roman" w:cs="Arial"/>
                <w:b/>
                <w:bCs/>
                <w:szCs w:val="22"/>
                <w:lang w:val="en-AU" w:eastAsia="en-AU"/>
              </w:rPr>
              <w:t>$000</w:t>
            </w:r>
          </w:p>
        </w:tc>
        <w:tc>
          <w:tcPr>
            <w:tcW w:w="1134" w:type="dxa"/>
            <w:noWrap/>
            <w:hideMark/>
          </w:tcPr>
          <w:p w14:paraId="7E7A276F" w14:textId="77777777" w:rsidR="00410A60" w:rsidRPr="00410A60" w:rsidRDefault="00410A60"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410A60">
              <w:rPr>
                <w:rFonts w:eastAsia="Times New Roman" w:cs="Arial"/>
                <w:b/>
                <w:bCs/>
                <w:szCs w:val="22"/>
                <w:lang w:val="en-AU" w:eastAsia="en-AU"/>
              </w:rPr>
              <w:t>$000</w:t>
            </w:r>
          </w:p>
        </w:tc>
      </w:tr>
      <w:tr w:rsidR="00410A60" w:rsidRPr="00410A60" w14:paraId="0381C74A" w14:textId="77777777" w:rsidTr="00302ABA">
        <w:trPr>
          <w:trHeight w:val="30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6FFAED58" w14:textId="77777777" w:rsidR="00410A60" w:rsidRPr="00410A60" w:rsidRDefault="00410A60" w:rsidP="00410A60">
            <w:pPr>
              <w:jc w:val="right"/>
              <w:rPr>
                <w:rFonts w:eastAsia="Times New Roman" w:cs="Arial"/>
                <w:b w:val="0"/>
                <w:bCs w:val="0"/>
                <w:szCs w:val="22"/>
                <w:lang w:val="en-AU" w:eastAsia="en-AU"/>
              </w:rPr>
            </w:pPr>
          </w:p>
        </w:tc>
        <w:tc>
          <w:tcPr>
            <w:tcW w:w="1418" w:type="dxa"/>
            <w:noWrap/>
            <w:hideMark/>
          </w:tcPr>
          <w:p w14:paraId="08702F53" w14:textId="77777777" w:rsidR="00410A60" w:rsidRPr="00410A60" w:rsidRDefault="00410A60" w:rsidP="00410A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842" w:type="dxa"/>
            <w:noWrap/>
            <w:hideMark/>
          </w:tcPr>
          <w:p w14:paraId="52D43B6C" w14:textId="77777777" w:rsidR="00410A60" w:rsidRPr="00410A60" w:rsidRDefault="00410A60" w:rsidP="00410A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134" w:type="dxa"/>
            <w:noWrap/>
            <w:hideMark/>
          </w:tcPr>
          <w:p w14:paraId="32F887E2" w14:textId="77777777" w:rsidR="00410A60" w:rsidRPr="00410A60" w:rsidRDefault="00410A60" w:rsidP="00410A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410A60" w:rsidRPr="00410A60" w14:paraId="7F9F92C3"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24C721B9" w14:textId="77777777" w:rsidR="00410A60" w:rsidRPr="00410A60" w:rsidRDefault="00410A60" w:rsidP="00410A60">
            <w:pPr>
              <w:rPr>
                <w:rFonts w:eastAsia="Times New Roman" w:cs="Arial"/>
                <w:b w:val="0"/>
                <w:bCs w:val="0"/>
                <w:color w:val="000000"/>
                <w:szCs w:val="22"/>
                <w:lang w:val="en-AU" w:eastAsia="en-AU"/>
              </w:rPr>
            </w:pPr>
            <w:r w:rsidRPr="00410A60">
              <w:rPr>
                <w:rFonts w:eastAsia="Times New Roman" w:cs="Arial"/>
                <w:color w:val="000000"/>
                <w:szCs w:val="22"/>
                <w:lang w:val="en-AU" w:eastAsia="en-AU"/>
              </w:rPr>
              <w:t>Cash flows from operating activities</w:t>
            </w:r>
          </w:p>
        </w:tc>
        <w:tc>
          <w:tcPr>
            <w:tcW w:w="1418" w:type="dxa"/>
            <w:noWrap/>
            <w:hideMark/>
          </w:tcPr>
          <w:p w14:paraId="066586C2"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val="en-AU" w:eastAsia="en-AU"/>
              </w:rPr>
            </w:pPr>
          </w:p>
        </w:tc>
        <w:tc>
          <w:tcPr>
            <w:tcW w:w="1842" w:type="dxa"/>
            <w:noWrap/>
            <w:hideMark/>
          </w:tcPr>
          <w:p w14:paraId="7FEF7E10"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134" w:type="dxa"/>
            <w:noWrap/>
            <w:hideMark/>
          </w:tcPr>
          <w:p w14:paraId="21C437DB" w14:textId="77777777" w:rsidR="00410A60" w:rsidRPr="00410A60" w:rsidRDefault="00410A60" w:rsidP="00410A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410A60" w:rsidRPr="00410A60" w14:paraId="29076FF3"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27CE4A9D"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Receipts</w:t>
            </w:r>
          </w:p>
        </w:tc>
        <w:tc>
          <w:tcPr>
            <w:tcW w:w="1418" w:type="dxa"/>
            <w:noWrap/>
            <w:hideMark/>
          </w:tcPr>
          <w:p w14:paraId="3011219B" w14:textId="77777777" w:rsidR="00410A60" w:rsidRPr="00410A60" w:rsidRDefault="00410A60" w:rsidP="00410A60">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42" w:type="dxa"/>
            <w:noWrap/>
            <w:hideMark/>
          </w:tcPr>
          <w:p w14:paraId="1C431678" w14:textId="77777777" w:rsidR="00410A60" w:rsidRPr="00410A60" w:rsidRDefault="00410A60" w:rsidP="00410A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134" w:type="dxa"/>
            <w:noWrap/>
            <w:hideMark/>
          </w:tcPr>
          <w:p w14:paraId="54C1C74B" w14:textId="77777777" w:rsidR="00410A60" w:rsidRPr="00410A60" w:rsidRDefault="00410A60" w:rsidP="00410A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410A60" w:rsidRPr="00410A60" w14:paraId="58144510"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1D5E7FBE"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Rates and utility charges</w:t>
            </w:r>
          </w:p>
        </w:tc>
        <w:tc>
          <w:tcPr>
            <w:tcW w:w="1418" w:type="dxa"/>
            <w:noWrap/>
            <w:hideMark/>
          </w:tcPr>
          <w:p w14:paraId="4D5753EB" w14:textId="298510DA"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367,124</w:t>
            </w:r>
          </w:p>
        </w:tc>
        <w:tc>
          <w:tcPr>
            <w:tcW w:w="1842" w:type="dxa"/>
            <w:noWrap/>
          </w:tcPr>
          <w:p w14:paraId="2A3B4B8B" w14:textId="7C2CBE10"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1,317,258</w:t>
            </w:r>
          </w:p>
        </w:tc>
        <w:tc>
          <w:tcPr>
            <w:tcW w:w="1134" w:type="dxa"/>
            <w:noWrap/>
          </w:tcPr>
          <w:p w14:paraId="3FCDDFEC" w14:textId="5F01AC44"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342,329</w:t>
            </w:r>
          </w:p>
        </w:tc>
      </w:tr>
      <w:tr w:rsidR="00410A60" w:rsidRPr="00410A60" w14:paraId="7DF0B9FE"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1CAA58F9"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Fees and charges</w:t>
            </w:r>
          </w:p>
        </w:tc>
        <w:tc>
          <w:tcPr>
            <w:tcW w:w="1418" w:type="dxa"/>
            <w:noWrap/>
            <w:hideMark/>
          </w:tcPr>
          <w:p w14:paraId="4E23F9FC" w14:textId="4FFEA910"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43,519</w:t>
            </w:r>
          </w:p>
        </w:tc>
        <w:tc>
          <w:tcPr>
            <w:tcW w:w="1842" w:type="dxa"/>
            <w:noWrap/>
          </w:tcPr>
          <w:p w14:paraId="553A14DC" w14:textId="2E308FEF"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239,917</w:t>
            </w:r>
          </w:p>
        </w:tc>
        <w:tc>
          <w:tcPr>
            <w:tcW w:w="1134" w:type="dxa"/>
            <w:noWrap/>
          </w:tcPr>
          <w:p w14:paraId="303F0D5F" w14:textId="2B056069"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42,291</w:t>
            </w:r>
          </w:p>
        </w:tc>
      </w:tr>
      <w:tr w:rsidR="00410A60" w:rsidRPr="00410A60" w14:paraId="0031D732"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171C463A"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Public transport revenue</w:t>
            </w:r>
          </w:p>
        </w:tc>
        <w:tc>
          <w:tcPr>
            <w:tcW w:w="1418" w:type="dxa"/>
            <w:noWrap/>
            <w:hideMark/>
          </w:tcPr>
          <w:p w14:paraId="32BEE9C6" w14:textId="4CB44579"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99,090</w:t>
            </w:r>
          </w:p>
        </w:tc>
        <w:tc>
          <w:tcPr>
            <w:tcW w:w="1842" w:type="dxa"/>
            <w:noWrap/>
          </w:tcPr>
          <w:p w14:paraId="611B2E70" w14:textId="01A07863"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372,964</w:t>
            </w:r>
          </w:p>
        </w:tc>
        <w:tc>
          <w:tcPr>
            <w:tcW w:w="1134" w:type="dxa"/>
            <w:noWrap/>
          </w:tcPr>
          <w:p w14:paraId="6AD172E6" w14:textId="52C57A56"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99,166</w:t>
            </w:r>
          </w:p>
        </w:tc>
      </w:tr>
      <w:tr w:rsidR="00410A60" w:rsidRPr="00410A60" w14:paraId="275DCB0A"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13195389"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Subsidies and grants</w:t>
            </w:r>
          </w:p>
        </w:tc>
        <w:tc>
          <w:tcPr>
            <w:tcW w:w="1418" w:type="dxa"/>
            <w:noWrap/>
            <w:hideMark/>
          </w:tcPr>
          <w:p w14:paraId="4DA6755A" w14:textId="1A23B992"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7,312</w:t>
            </w:r>
          </w:p>
        </w:tc>
        <w:tc>
          <w:tcPr>
            <w:tcW w:w="1842" w:type="dxa"/>
            <w:noWrap/>
          </w:tcPr>
          <w:p w14:paraId="05F0E9F4" w14:textId="1D7FF2EE"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124,425</w:t>
            </w:r>
          </w:p>
        </w:tc>
        <w:tc>
          <w:tcPr>
            <w:tcW w:w="1134" w:type="dxa"/>
            <w:noWrap/>
          </w:tcPr>
          <w:p w14:paraId="064BDCAF" w14:textId="724E9E0B"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11,340</w:t>
            </w:r>
          </w:p>
        </w:tc>
      </w:tr>
      <w:tr w:rsidR="00410A60" w:rsidRPr="00410A60" w14:paraId="2BC69289"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hideMark/>
          </w:tcPr>
          <w:p w14:paraId="54431194"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Contributions</w:t>
            </w:r>
          </w:p>
        </w:tc>
        <w:tc>
          <w:tcPr>
            <w:tcW w:w="1418" w:type="dxa"/>
            <w:noWrap/>
            <w:hideMark/>
          </w:tcPr>
          <w:p w14:paraId="2C063787" w14:textId="700CFCF5"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232</w:t>
            </w:r>
          </w:p>
        </w:tc>
        <w:tc>
          <w:tcPr>
            <w:tcW w:w="1842" w:type="dxa"/>
            <w:noWrap/>
          </w:tcPr>
          <w:p w14:paraId="058D0AF1" w14:textId="42930272"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1,639</w:t>
            </w:r>
          </w:p>
        </w:tc>
        <w:tc>
          <w:tcPr>
            <w:tcW w:w="1134" w:type="dxa"/>
            <w:noWrap/>
          </w:tcPr>
          <w:p w14:paraId="0EE96B50" w14:textId="62D758CF"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193</w:t>
            </w:r>
          </w:p>
        </w:tc>
      </w:tr>
      <w:tr w:rsidR="00410A60" w:rsidRPr="00410A60" w14:paraId="0DA50DEA"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7BF06DA1"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GST received from Australian Taxation Office</w:t>
            </w:r>
          </w:p>
        </w:tc>
        <w:tc>
          <w:tcPr>
            <w:tcW w:w="1418" w:type="dxa"/>
            <w:noWrap/>
            <w:hideMark/>
          </w:tcPr>
          <w:p w14:paraId="51AAADDA" w14:textId="1136142D"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29,837</w:t>
            </w:r>
          </w:p>
        </w:tc>
        <w:tc>
          <w:tcPr>
            <w:tcW w:w="1842" w:type="dxa"/>
            <w:noWrap/>
          </w:tcPr>
          <w:p w14:paraId="1BDC617C" w14:textId="17FD38DB"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c>
          <w:tcPr>
            <w:tcW w:w="1134" w:type="dxa"/>
            <w:noWrap/>
          </w:tcPr>
          <w:p w14:paraId="70948AFD" w14:textId="643400C7"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26,584</w:t>
            </w:r>
          </w:p>
        </w:tc>
      </w:tr>
      <w:tr w:rsidR="00410A60" w:rsidRPr="00410A60" w14:paraId="1CFA94FA"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hideMark/>
          </w:tcPr>
          <w:p w14:paraId="1013832E" w14:textId="77777777" w:rsidR="00410A60" w:rsidRPr="00410A60" w:rsidRDefault="00410A60" w:rsidP="00410A60">
            <w:pPr>
              <w:rPr>
                <w:rFonts w:eastAsia="Times New Roman" w:cs="Arial"/>
                <w:color w:val="FF0000"/>
                <w:szCs w:val="22"/>
                <w:lang w:val="en-AU" w:eastAsia="en-AU"/>
              </w:rPr>
            </w:pPr>
            <w:r w:rsidRPr="00410A60">
              <w:rPr>
                <w:rFonts w:eastAsia="Times New Roman" w:cs="Arial"/>
                <w:color w:val="FF0000"/>
                <w:szCs w:val="22"/>
                <w:lang w:val="en-AU" w:eastAsia="en-AU"/>
              </w:rPr>
              <w:t xml:space="preserve">     </w:t>
            </w:r>
            <w:r w:rsidRPr="00410A60">
              <w:rPr>
                <w:rFonts w:eastAsia="Times New Roman" w:cs="Arial"/>
                <w:szCs w:val="22"/>
                <w:lang w:val="en-AU" w:eastAsia="en-AU"/>
              </w:rPr>
              <w:t xml:space="preserve">  Interest</w:t>
            </w:r>
          </w:p>
        </w:tc>
        <w:tc>
          <w:tcPr>
            <w:tcW w:w="1418" w:type="dxa"/>
            <w:noWrap/>
            <w:hideMark/>
          </w:tcPr>
          <w:p w14:paraId="579C45E4" w14:textId="41C323C2" w:rsidR="00410A60" w:rsidRPr="001407F9"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2,591</w:t>
            </w:r>
          </w:p>
        </w:tc>
        <w:tc>
          <w:tcPr>
            <w:tcW w:w="1842" w:type="dxa"/>
            <w:noWrap/>
          </w:tcPr>
          <w:p w14:paraId="21320EED" w14:textId="4C8473BA"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4,099</w:t>
            </w:r>
          </w:p>
        </w:tc>
        <w:tc>
          <w:tcPr>
            <w:tcW w:w="1134" w:type="dxa"/>
            <w:noWrap/>
          </w:tcPr>
          <w:p w14:paraId="18735E6F" w14:textId="6909EF40"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814</w:t>
            </w:r>
          </w:p>
        </w:tc>
      </w:tr>
      <w:tr w:rsidR="00410A60" w:rsidRPr="00410A60" w14:paraId="5CB8EE5A"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54320DB1"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Dividends and participation returns received</w:t>
            </w:r>
          </w:p>
        </w:tc>
        <w:tc>
          <w:tcPr>
            <w:tcW w:w="1418" w:type="dxa"/>
            <w:noWrap/>
            <w:hideMark/>
          </w:tcPr>
          <w:p w14:paraId="1F441519" w14:textId="0C5F200F"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15,000</w:t>
            </w:r>
          </w:p>
        </w:tc>
        <w:tc>
          <w:tcPr>
            <w:tcW w:w="1842" w:type="dxa"/>
            <w:noWrap/>
          </w:tcPr>
          <w:p w14:paraId="11EA12BD" w14:textId="3800F153"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144,209</w:t>
            </w:r>
          </w:p>
        </w:tc>
        <w:tc>
          <w:tcPr>
            <w:tcW w:w="1134" w:type="dxa"/>
            <w:noWrap/>
          </w:tcPr>
          <w:p w14:paraId="5BDD880B" w14:textId="6E503371" w:rsidR="00410A60" w:rsidRPr="00410A60" w:rsidRDefault="001407F9" w:rsidP="001407F9">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40,000</w:t>
            </w:r>
          </w:p>
        </w:tc>
      </w:tr>
      <w:tr w:rsidR="00410A60" w:rsidRPr="00410A60" w14:paraId="03007AFC"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3D9CE32A"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Other</w:t>
            </w:r>
          </w:p>
        </w:tc>
        <w:tc>
          <w:tcPr>
            <w:tcW w:w="1418" w:type="dxa"/>
            <w:noWrap/>
            <w:hideMark/>
          </w:tcPr>
          <w:p w14:paraId="46C38E63" w14:textId="240C15B7"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69,972</w:t>
            </w:r>
          </w:p>
        </w:tc>
        <w:tc>
          <w:tcPr>
            <w:tcW w:w="1842" w:type="dxa"/>
            <w:noWrap/>
          </w:tcPr>
          <w:p w14:paraId="573A346B" w14:textId="680FF8A8"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236,015</w:t>
            </w:r>
          </w:p>
        </w:tc>
        <w:tc>
          <w:tcPr>
            <w:tcW w:w="1134" w:type="dxa"/>
            <w:noWrap/>
          </w:tcPr>
          <w:p w14:paraId="6EF9DF82" w14:textId="36084321" w:rsidR="00410A60" w:rsidRPr="00410A60" w:rsidRDefault="001407F9" w:rsidP="001407F9">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55,933</w:t>
            </w:r>
          </w:p>
        </w:tc>
      </w:tr>
      <w:tr w:rsidR="00410A60" w:rsidRPr="00410A60" w14:paraId="211F9706"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447AD9A8" w14:textId="77777777" w:rsidR="00410A60" w:rsidRPr="00410A60" w:rsidRDefault="00410A60" w:rsidP="00410A60">
            <w:pPr>
              <w:jc w:val="right"/>
              <w:rPr>
                <w:rFonts w:eastAsia="Times New Roman" w:cs="Arial"/>
                <w:szCs w:val="22"/>
                <w:lang w:val="en-AU" w:eastAsia="en-AU"/>
              </w:rPr>
            </w:pPr>
          </w:p>
        </w:tc>
        <w:tc>
          <w:tcPr>
            <w:tcW w:w="1418" w:type="dxa"/>
            <w:noWrap/>
            <w:hideMark/>
          </w:tcPr>
          <w:p w14:paraId="37FCE025" w14:textId="293F0133" w:rsidR="00410A60" w:rsidRPr="00FB6B0A" w:rsidRDefault="001407F9"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634,677</w:t>
            </w:r>
          </w:p>
        </w:tc>
        <w:tc>
          <w:tcPr>
            <w:tcW w:w="1842" w:type="dxa"/>
            <w:noWrap/>
          </w:tcPr>
          <w:p w14:paraId="7B2FBB50" w14:textId="2700451F" w:rsidR="00410A60" w:rsidRPr="00FB6B0A" w:rsidRDefault="001407F9"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2,440,526</w:t>
            </w:r>
          </w:p>
        </w:tc>
        <w:tc>
          <w:tcPr>
            <w:tcW w:w="1134" w:type="dxa"/>
            <w:noWrap/>
          </w:tcPr>
          <w:p w14:paraId="7131DE07" w14:textId="44818F61" w:rsidR="00410A60" w:rsidRPr="00FB6B0A" w:rsidRDefault="001407F9"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618,650</w:t>
            </w:r>
          </w:p>
        </w:tc>
      </w:tr>
      <w:tr w:rsidR="00410A60" w:rsidRPr="00410A60" w14:paraId="2EA1B7B0"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53F18AFC"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Payments</w:t>
            </w:r>
          </w:p>
        </w:tc>
        <w:tc>
          <w:tcPr>
            <w:tcW w:w="1418" w:type="dxa"/>
            <w:noWrap/>
            <w:hideMark/>
          </w:tcPr>
          <w:p w14:paraId="746DBC29"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842" w:type="dxa"/>
            <w:noWrap/>
          </w:tcPr>
          <w:p w14:paraId="30D87033" w14:textId="77777777" w:rsidR="00410A60" w:rsidRPr="00410A60" w:rsidRDefault="00410A60" w:rsidP="00410A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134" w:type="dxa"/>
            <w:noWrap/>
          </w:tcPr>
          <w:p w14:paraId="7A551F61"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410A60" w:rsidRPr="00410A60" w14:paraId="37B27F46"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D10A0B3"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Employee costs</w:t>
            </w:r>
          </w:p>
        </w:tc>
        <w:tc>
          <w:tcPr>
            <w:tcW w:w="1418" w:type="dxa"/>
            <w:noWrap/>
            <w:hideMark/>
          </w:tcPr>
          <w:p w14:paraId="51F1AAA0" w14:textId="61A0505C" w:rsidR="00410A60" w:rsidRPr="00410A60" w:rsidRDefault="001407F9" w:rsidP="00362971">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(185,937)</w:t>
            </w:r>
          </w:p>
        </w:tc>
        <w:tc>
          <w:tcPr>
            <w:tcW w:w="1842" w:type="dxa"/>
            <w:noWrap/>
          </w:tcPr>
          <w:p w14:paraId="3F2B8D6C" w14:textId="1780AF26" w:rsidR="00410A60" w:rsidRPr="00410A60" w:rsidRDefault="00362971" w:rsidP="00362971">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(822,449)</w:t>
            </w:r>
          </w:p>
        </w:tc>
        <w:tc>
          <w:tcPr>
            <w:tcW w:w="1134" w:type="dxa"/>
            <w:noWrap/>
          </w:tcPr>
          <w:p w14:paraId="04DD4526" w14:textId="4CA1D6A1" w:rsidR="00410A60" w:rsidRPr="00410A60" w:rsidRDefault="00250002" w:rsidP="00362971">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(171,885)</w:t>
            </w:r>
          </w:p>
        </w:tc>
      </w:tr>
      <w:tr w:rsidR="00410A60" w:rsidRPr="00410A60" w14:paraId="194FB270"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55C96A4F"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Materials and services </w:t>
            </w:r>
          </w:p>
        </w:tc>
        <w:tc>
          <w:tcPr>
            <w:tcW w:w="1418" w:type="dxa"/>
            <w:noWrap/>
            <w:hideMark/>
          </w:tcPr>
          <w:p w14:paraId="2B003649" w14:textId="78E3081C" w:rsidR="00410A60" w:rsidRPr="00410A60" w:rsidRDefault="00362971" w:rsidP="00362971">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(190,400)</w:t>
            </w:r>
          </w:p>
        </w:tc>
        <w:tc>
          <w:tcPr>
            <w:tcW w:w="1842" w:type="dxa"/>
            <w:noWrap/>
          </w:tcPr>
          <w:p w14:paraId="422F6357" w14:textId="346201B7" w:rsidR="00410A60" w:rsidRPr="00410A60" w:rsidRDefault="00362971" w:rsidP="00362971">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(946,061)</w:t>
            </w:r>
          </w:p>
        </w:tc>
        <w:tc>
          <w:tcPr>
            <w:tcW w:w="1134" w:type="dxa"/>
            <w:noWrap/>
          </w:tcPr>
          <w:p w14:paraId="2F02CBC3" w14:textId="5E2526D2" w:rsidR="00410A60" w:rsidRPr="00410A60" w:rsidRDefault="00250002" w:rsidP="00362971">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(214,324)</w:t>
            </w:r>
          </w:p>
        </w:tc>
      </w:tr>
      <w:tr w:rsidR="00410A60" w:rsidRPr="00410A60" w14:paraId="2DEDDF1B"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217D27D0"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Finance costs</w:t>
            </w:r>
          </w:p>
        </w:tc>
        <w:tc>
          <w:tcPr>
            <w:tcW w:w="1418" w:type="dxa"/>
            <w:noWrap/>
            <w:hideMark/>
          </w:tcPr>
          <w:p w14:paraId="596D2815" w14:textId="0E4C42AF" w:rsidR="00410A60" w:rsidRPr="00410A60" w:rsidRDefault="00362971" w:rsidP="00362971">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(23,500)</w:t>
            </w:r>
          </w:p>
        </w:tc>
        <w:tc>
          <w:tcPr>
            <w:tcW w:w="1842" w:type="dxa"/>
            <w:noWrap/>
          </w:tcPr>
          <w:p w14:paraId="4BA79F72" w14:textId="421075FA" w:rsidR="00410A60" w:rsidRPr="00410A60" w:rsidRDefault="00362971" w:rsidP="00362971">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(100,272)</w:t>
            </w:r>
          </w:p>
        </w:tc>
        <w:tc>
          <w:tcPr>
            <w:tcW w:w="1134" w:type="dxa"/>
            <w:noWrap/>
          </w:tcPr>
          <w:p w14:paraId="789CAEE1" w14:textId="785B62CB" w:rsidR="00410A60" w:rsidRPr="00410A60" w:rsidRDefault="00250002" w:rsidP="00362971">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(21,439)</w:t>
            </w:r>
          </w:p>
        </w:tc>
      </w:tr>
      <w:tr w:rsidR="00410A60" w:rsidRPr="00410A60" w14:paraId="0FB830E3"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1994E1E8"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 xml:space="preserve">       Other</w:t>
            </w:r>
          </w:p>
        </w:tc>
        <w:tc>
          <w:tcPr>
            <w:tcW w:w="1418" w:type="dxa"/>
            <w:noWrap/>
            <w:hideMark/>
          </w:tcPr>
          <w:p w14:paraId="7FAB459D" w14:textId="3D2B69FE" w:rsidR="00410A60" w:rsidRPr="00410A60" w:rsidRDefault="00362971" w:rsidP="00362971">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(11,221)</w:t>
            </w:r>
          </w:p>
        </w:tc>
        <w:tc>
          <w:tcPr>
            <w:tcW w:w="1842" w:type="dxa"/>
            <w:noWrap/>
          </w:tcPr>
          <w:p w14:paraId="689A8B0C" w14:textId="46AADFE2" w:rsidR="00410A60" w:rsidRPr="00410A60" w:rsidRDefault="00362971" w:rsidP="00362971">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(51,057)</w:t>
            </w:r>
          </w:p>
        </w:tc>
        <w:tc>
          <w:tcPr>
            <w:tcW w:w="1134" w:type="dxa"/>
            <w:noWrap/>
          </w:tcPr>
          <w:p w14:paraId="0BD544AC" w14:textId="4585B7F1" w:rsidR="00410A60" w:rsidRPr="00410A60" w:rsidRDefault="00250002" w:rsidP="00362971">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(11,225)</w:t>
            </w:r>
          </w:p>
        </w:tc>
      </w:tr>
      <w:tr w:rsidR="00410A60" w:rsidRPr="00410A60" w14:paraId="67675B3F"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283822FF" w14:textId="239B7252" w:rsidR="00410A60" w:rsidRPr="00410A60" w:rsidRDefault="00410A60" w:rsidP="00410A60">
            <w:pPr>
              <w:jc w:val="right"/>
              <w:rPr>
                <w:rFonts w:eastAsia="Times New Roman" w:cs="Arial"/>
                <w:szCs w:val="22"/>
                <w:lang w:val="en-AU" w:eastAsia="en-AU"/>
              </w:rPr>
            </w:pPr>
          </w:p>
        </w:tc>
        <w:tc>
          <w:tcPr>
            <w:tcW w:w="1418" w:type="dxa"/>
            <w:noWrap/>
            <w:hideMark/>
          </w:tcPr>
          <w:p w14:paraId="0CA362C3" w14:textId="7B1855D0" w:rsidR="00410A60" w:rsidRPr="00FB6B0A" w:rsidRDefault="00362971"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(411,058)</w:t>
            </w:r>
          </w:p>
        </w:tc>
        <w:tc>
          <w:tcPr>
            <w:tcW w:w="1842" w:type="dxa"/>
            <w:noWrap/>
          </w:tcPr>
          <w:p w14:paraId="7310894F" w14:textId="6D79638E" w:rsidR="00410A60" w:rsidRPr="00FB6B0A"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(1,919,839)</w:t>
            </w:r>
          </w:p>
        </w:tc>
        <w:tc>
          <w:tcPr>
            <w:tcW w:w="1134" w:type="dxa"/>
            <w:noWrap/>
          </w:tcPr>
          <w:p w14:paraId="5C709DEC" w14:textId="46618412" w:rsidR="00410A60" w:rsidRPr="00FB6B0A"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(418,873)</w:t>
            </w:r>
          </w:p>
        </w:tc>
      </w:tr>
      <w:tr w:rsidR="00410A60" w:rsidRPr="00410A60" w14:paraId="53F03415"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3246B0A" w14:textId="77777777" w:rsidR="00410A60" w:rsidRPr="00410A60" w:rsidRDefault="00410A60" w:rsidP="00410A60">
            <w:pPr>
              <w:rPr>
                <w:rFonts w:eastAsia="Times New Roman" w:cs="Arial"/>
                <w:b w:val="0"/>
                <w:bCs w:val="0"/>
                <w:color w:val="000000"/>
                <w:szCs w:val="22"/>
                <w:lang w:val="en-AU" w:eastAsia="en-AU"/>
              </w:rPr>
            </w:pPr>
            <w:r w:rsidRPr="00410A60">
              <w:rPr>
                <w:rFonts w:eastAsia="Times New Roman" w:cs="Arial"/>
                <w:color w:val="000000"/>
                <w:szCs w:val="22"/>
                <w:lang w:val="en-AU" w:eastAsia="en-AU"/>
              </w:rPr>
              <w:t>Net cash from operating activities</w:t>
            </w:r>
          </w:p>
        </w:tc>
        <w:tc>
          <w:tcPr>
            <w:tcW w:w="1418" w:type="dxa"/>
            <w:noWrap/>
            <w:hideMark/>
          </w:tcPr>
          <w:p w14:paraId="272B085F" w14:textId="2B929DF7" w:rsidR="00410A60" w:rsidRPr="00FB6B0A" w:rsidRDefault="00362971"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223,619</w:t>
            </w:r>
          </w:p>
        </w:tc>
        <w:tc>
          <w:tcPr>
            <w:tcW w:w="1842" w:type="dxa"/>
            <w:noWrap/>
          </w:tcPr>
          <w:p w14:paraId="38ECDEA9" w14:textId="065A939F" w:rsidR="00410A60" w:rsidRPr="00FB6B0A" w:rsidRDefault="00250002"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520,687</w:t>
            </w:r>
          </w:p>
        </w:tc>
        <w:tc>
          <w:tcPr>
            <w:tcW w:w="1134" w:type="dxa"/>
            <w:noWrap/>
          </w:tcPr>
          <w:p w14:paraId="7226C212" w14:textId="0DB82DE9" w:rsidR="00410A60" w:rsidRPr="00FB6B0A" w:rsidRDefault="00250002"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199,777</w:t>
            </w:r>
          </w:p>
        </w:tc>
      </w:tr>
      <w:tr w:rsidR="00410A60" w:rsidRPr="00410A60" w14:paraId="587B5D1A"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410AFA19" w14:textId="77777777" w:rsidR="00410A60" w:rsidRPr="00410A60" w:rsidRDefault="00410A60" w:rsidP="00410A60">
            <w:pPr>
              <w:jc w:val="right"/>
              <w:rPr>
                <w:rFonts w:eastAsia="Times New Roman" w:cs="Arial"/>
                <w:szCs w:val="22"/>
                <w:lang w:val="en-AU" w:eastAsia="en-AU"/>
              </w:rPr>
            </w:pPr>
          </w:p>
        </w:tc>
        <w:tc>
          <w:tcPr>
            <w:tcW w:w="1418" w:type="dxa"/>
            <w:noWrap/>
            <w:hideMark/>
          </w:tcPr>
          <w:p w14:paraId="5D295D35" w14:textId="77777777" w:rsidR="00410A60" w:rsidRPr="00410A60" w:rsidRDefault="00410A60" w:rsidP="00410A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842" w:type="dxa"/>
            <w:noWrap/>
          </w:tcPr>
          <w:p w14:paraId="16E9A913" w14:textId="77777777" w:rsidR="00410A60" w:rsidRPr="00410A60" w:rsidRDefault="00410A60" w:rsidP="00410A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134" w:type="dxa"/>
            <w:noWrap/>
          </w:tcPr>
          <w:p w14:paraId="1D080A2F" w14:textId="77777777" w:rsidR="00410A60" w:rsidRPr="00410A60" w:rsidRDefault="00410A60" w:rsidP="00410A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410A60" w:rsidRPr="00410A60" w14:paraId="4CF1DDD8"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FAF98D9" w14:textId="77777777" w:rsidR="00410A60" w:rsidRPr="00410A60" w:rsidRDefault="00410A60" w:rsidP="00410A60">
            <w:pPr>
              <w:rPr>
                <w:rFonts w:eastAsia="Times New Roman" w:cs="Arial"/>
                <w:b w:val="0"/>
                <w:bCs w:val="0"/>
                <w:color w:val="000000"/>
                <w:szCs w:val="22"/>
                <w:lang w:val="en-AU" w:eastAsia="en-AU"/>
              </w:rPr>
            </w:pPr>
            <w:r w:rsidRPr="00410A60">
              <w:rPr>
                <w:rFonts w:eastAsia="Times New Roman" w:cs="Arial"/>
                <w:color w:val="000000"/>
                <w:szCs w:val="22"/>
                <w:lang w:val="en-AU" w:eastAsia="en-AU"/>
              </w:rPr>
              <w:t>Cash flows from investing activities</w:t>
            </w:r>
          </w:p>
        </w:tc>
        <w:tc>
          <w:tcPr>
            <w:tcW w:w="1418" w:type="dxa"/>
            <w:noWrap/>
            <w:hideMark/>
          </w:tcPr>
          <w:p w14:paraId="5E876D9C"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val="en-AU" w:eastAsia="en-AU"/>
              </w:rPr>
            </w:pPr>
          </w:p>
        </w:tc>
        <w:tc>
          <w:tcPr>
            <w:tcW w:w="1842" w:type="dxa"/>
            <w:noWrap/>
          </w:tcPr>
          <w:p w14:paraId="0C84DD08" w14:textId="77777777" w:rsidR="00410A60" w:rsidRPr="00410A60" w:rsidRDefault="00410A60" w:rsidP="00410A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134" w:type="dxa"/>
            <w:noWrap/>
          </w:tcPr>
          <w:p w14:paraId="602029D6"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410A60" w:rsidRPr="00410A60" w14:paraId="33EE9151"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75D87EE8"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Proceeds from disposal of property, plant and equipment and intangibles</w:t>
            </w:r>
          </w:p>
        </w:tc>
        <w:tc>
          <w:tcPr>
            <w:tcW w:w="1418" w:type="dxa"/>
            <w:noWrap/>
            <w:hideMark/>
          </w:tcPr>
          <w:p w14:paraId="0D898983" w14:textId="7AB55878"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17,313</w:t>
            </w:r>
          </w:p>
        </w:tc>
        <w:tc>
          <w:tcPr>
            <w:tcW w:w="1842" w:type="dxa"/>
            <w:noWrap/>
          </w:tcPr>
          <w:p w14:paraId="706D2A8C" w14:textId="3A538210"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27,846</w:t>
            </w:r>
          </w:p>
        </w:tc>
        <w:tc>
          <w:tcPr>
            <w:tcW w:w="1134" w:type="dxa"/>
            <w:noWrap/>
          </w:tcPr>
          <w:p w14:paraId="27063366" w14:textId="5E08EEB0"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21,114</w:t>
            </w:r>
          </w:p>
        </w:tc>
      </w:tr>
      <w:tr w:rsidR="00410A60" w:rsidRPr="00410A60" w14:paraId="11B3B0B3"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hideMark/>
          </w:tcPr>
          <w:p w14:paraId="6249B248"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Payments for property, plant, equipment and intangibles</w:t>
            </w:r>
          </w:p>
        </w:tc>
        <w:tc>
          <w:tcPr>
            <w:tcW w:w="1418" w:type="dxa"/>
            <w:noWrap/>
            <w:hideMark/>
          </w:tcPr>
          <w:p w14:paraId="4049568A" w14:textId="6AB01902"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(245,556)</w:t>
            </w:r>
          </w:p>
        </w:tc>
        <w:tc>
          <w:tcPr>
            <w:tcW w:w="1842" w:type="dxa"/>
            <w:noWrap/>
          </w:tcPr>
          <w:p w14:paraId="5889B290" w14:textId="66583D35"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(1,411,646)</w:t>
            </w:r>
          </w:p>
        </w:tc>
        <w:tc>
          <w:tcPr>
            <w:tcW w:w="1134" w:type="dxa"/>
            <w:noWrap/>
          </w:tcPr>
          <w:p w14:paraId="359434A0" w14:textId="3521B591"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(157,278)</w:t>
            </w:r>
          </w:p>
        </w:tc>
      </w:tr>
      <w:tr w:rsidR="00410A60" w:rsidRPr="00410A60" w14:paraId="0DF94EC0"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hideMark/>
          </w:tcPr>
          <w:p w14:paraId="358E7CF3"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Receipts for capital contributions, donations, grants, subsidies and other capital revenue</w:t>
            </w:r>
          </w:p>
        </w:tc>
        <w:tc>
          <w:tcPr>
            <w:tcW w:w="1418" w:type="dxa"/>
            <w:noWrap/>
            <w:hideMark/>
          </w:tcPr>
          <w:p w14:paraId="365C396A" w14:textId="643AC195"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164,088</w:t>
            </w:r>
          </w:p>
        </w:tc>
        <w:tc>
          <w:tcPr>
            <w:tcW w:w="1842" w:type="dxa"/>
            <w:noWrap/>
          </w:tcPr>
          <w:p w14:paraId="0B1367C2" w14:textId="7B55A6DF"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532,385</w:t>
            </w:r>
          </w:p>
        </w:tc>
        <w:tc>
          <w:tcPr>
            <w:tcW w:w="1134" w:type="dxa"/>
            <w:noWrap/>
          </w:tcPr>
          <w:p w14:paraId="02804590" w14:textId="31F51C25"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24,443</w:t>
            </w:r>
          </w:p>
        </w:tc>
      </w:tr>
      <w:tr w:rsidR="00410A60" w:rsidRPr="00410A60" w14:paraId="1CB0A8CD"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304EE063" w14:textId="77777777" w:rsidR="00410A60" w:rsidRPr="00410A60" w:rsidRDefault="00410A60" w:rsidP="00410A60">
            <w:pPr>
              <w:rPr>
                <w:rFonts w:eastAsia="Times New Roman" w:cs="Arial"/>
                <w:b w:val="0"/>
                <w:bCs w:val="0"/>
                <w:color w:val="000000"/>
                <w:szCs w:val="22"/>
                <w:lang w:val="en-AU" w:eastAsia="en-AU"/>
              </w:rPr>
            </w:pPr>
            <w:r w:rsidRPr="00410A60">
              <w:rPr>
                <w:rFonts w:eastAsia="Times New Roman" w:cs="Arial"/>
                <w:color w:val="000000"/>
                <w:szCs w:val="22"/>
                <w:lang w:val="en-AU" w:eastAsia="en-AU"/>
              </w:rPr>
              <w:t>Net cash used in investing activities</w:t>
            </w:r>
          </w:p>
        </w:tc>
        <w:tc>
          <w:tcPr>
            <w:tcW w:w="1418" w:type="dxa"/>
            <w:noWrap/>
            <w:hideMark/>
          </w:tcPr>
          <w:p w14:paraId="5D030F21" w14:textId="289978ED" w:rsidR="00410A60" w:rsidRPr="00FB6B0A" w:rsidRDefault="00250002"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(64,155)</w:t>
            </w:r>
          </w:p>
        </w:tc>
        <w:tc>
          <w:tcPr>
            <w:tcW w:w="1842" w:type="dxa"/>
            <w:noWrap/>
          </w:tcPr>
          <w:p w14:paraId="596844AC" w14:textId="7C012EEF" w:rsidR="00410A60" w:rsidRPr="00FB6B0A" w:rsidRDefault="00250002"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(851,415)</w:t>
            </w:r>
          </w:p>
        </w:tc>
        <w:tc>
          <w:tcPr>
            <w:tcW w:w="1134" w:type="dxa"/>
            <w:noWrap/>
          </w:tcPr>
          <w:p w14:paraId="101F529A" w14:textId="2E59B9B8" w:rsidR="00410A60" w:rsidRPr="00FB6B0A" w:rsidRDefault="00250002"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(111,721)</w:t>
            </w:r>
          </w:p>
        </w:tc>
      </w:tr>
      <w:tr w:rsidR="00410A60" w:rsidRPr="00410A60" w14:paraId="17A770CD"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4048858F" w14:textId="77777777" w:rsidR="00410A60" w:rsidRPr="00410A60" w:rsidRDefault="00410A60" w:rsidP="00410A60">
            <w:pPr>
              <w:jc w:val="right"/>
              <w:rPr>
                <w:rFonts w:eastAsia="Times New Roman" w:cs="Arial"/>
                <w:szCs w:val="22"/>
                <w:lang w:val="en-AU" w:eastAsia="en-AU"/>
              </w:rPr>
            </w:pPr>
          </w:p>
        </w:tc>
        <w:tc>
          <w:tcPr>
            <w:tcW w:w="1418" w:type="dxa"/>
            <w:noWrap/>
            <w:hideMark/>
          </w:tcPr>
          <w:p w14:paraId="3938848F" w14:textId="77777777" w:rsidR="00410A60" w:rsidRPr="00410A60" w:rsidRDefault="00410A60" w:rsidP="00410A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842" w:type="dxa"/>
            <w:noWrap/>
          </w:tcPr>
          <w:p w14:paraId="484231F9" w14:textId="77777777" w:rsidR="00410A60" w:rsidRPr="00410A60" w:rsidRDefault="00410A60" w:rsidP="00410A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134" w:type="dxa"/>
            <w:noWrap/>
          </w:tcPr>
          <w:p w14:paraId="2E83F6FF" w14:textId="77777777" w:rsidR="00410A60" w:rsidRPr="00410A60" w:rsidRDefault="00410A60" w:rsidP="00410A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410A60" w:rsidRPr="00410A60" w14:paraId="0DCCEE0E"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D9F2BFD" w14:textId="77777777" w:rsidR="00410A60" w:rsidRPr="00410A60" w:rsidRDefault="00410A60" w:rsidP="00410A60">
            <w:pPr>
              <w:rPr>
                <w:rFonts w:eastAsia="Times New Roman" w:cs="Arial"/>
                <w:b w:val="0"/>
                <w:bCs w:val="0"/>
                <w:color w:val="000000"/>
                <w:szCs w:val="22"/>
                <w:lang w:val="en-AU" w:eastAsia="en-AU"/>
              </w:rPr>
            </w:pPr>
            <w:r w:rsidRPr="00410A60">
              <w:rPr>
                <w:rFonts w:eastAsia="Times New Roman" w:cs="Arial"/>
                <w:color w:val="000000"/>
                <w:szCs w:val="22"/>
                <w:lang w:val="en-AU" w:eastAsia="en-AU"/>
              </w:rPr>
              <w:t>Cash flows from financing activities</w:t>
            </w:r>
          </w:p>
        </w:tc>
        <w:tc>
          <w:tcPr>
            <w:tcW w:w="1418" w:type="dxa"/>
            <w:noWrap/>
            <w:hideMark/>
          </w:tcPr>
          <w:p w14:paraId="2E672F46"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val="en-AU" w:eastAsia="en-AU"/>
              </w:rPr>
            </w:pPr>
          </w:p>
        </w:tc>
        <w:tc>
          <w:tcPr>
            <w:tcW w:w="1842" w:type="dxa"/>
            <w:noWrap/>
          </w:tcPr>
          <w:p w14:paraId="478D6A45" w14:textId="77777777" w:rsidR="00410A60" w:rsidRPr="00410A60" w:rsidRDefault="00410A60" w:rsidP="00410A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134" w:type="dxa"/>
            <w:noWrap/>
          </w:tcPr>
          <w:p w14:paraId="1732AABE"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410A60" w:rsidRPr="00410A60" w14:paraId="0BD53012"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9D536F4"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Net proceeds from working capital facility</w:t>
            </w:r>
          </w:p>
        </w:tc>
        <w:tc>
          <w:tcPr>
            <w:tcW w:w="1418" w:type="dxa"/>
            <w:noWrap/>
            <w:hideMark/>
          </w:tcPr>
          <w:p w14:paraId="53A9D407" w14:textId="3596246B"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c>
          <w:tcPr>
            <w:tcW w:w="1842" w:type="dxa"/>
            <w:noWrap/>
          </w:tcPr>
          <w:p w14:paraId="353802E2" w14:textId="5BFFE673" w:rsidR="00410A60" w:rsidRPr="00410A60"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c>
          <w:tcPr>
            <w:tcW w:w="1134" w:type="dxa"/>
            <w:noWrap/>
          </w:tcPr>
          <w:p w14:paraId="40D378FC" w14:textId="2A39C4A8" w:rsidR="00410A60" w:rsidRPr="00410A60"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114,000</w:t>
            </w:r>
          </w:p>
        </w:tc>
      </w:tr>
      <w:tr w:rsidR="00410A60" w:rsidRPr="00410A60" w14:paraId="3CE0874D"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CA1D1D3"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Proceeds from borrowings</w:t>
            </w:r>
          </w:p>
        </w:tc>
        <w:tc>
          <w:tcPr>
            <w:tcW w:w="1418" w:type="dxa"/>
            <w:noWrap/>
            <w:hideMark/>
          </w:tcPr>
          <w:p w14:paraId="36FB305E" w14:textId="5BDFF78E"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c>
          <w:tcPr>
            <w:tcW w:w="1842" w:type="dxa"/>
            <w:noWrap/>
          </w:tcPr>
          <w:p w14:paraId="5D7B6023" w14:textId="48C582E3"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326,000</w:t>
            </w:r>
          </w:p>
        </w:tc>
        <w:tc>
          <w:tcPr>
            <w:tcW w:w="1134" w:type="dxa"/>
            <w:noWrap/>
          </w:tcPr>
          <w:p w14:paraId="6123FE52" w14:textId="3A28DED3"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sidRPr="000327DD">
              <w:rPr>
                <w:rFonts w:eastAsia="Times New Roman" w:cs="Arial"/>
                <w:szCs w:val="22"/>
                <w:lang w:val="en-AU" w:eastAsia="en-AU"/>
              </w:rPr>
              <w:t>-</w:t>
            </w:r>
          </w:p>
        </w:tc>
      </w:tr>
      <w:tr w:rsidR="00410A60" w:rsidRPr="00410A60" w14:paraId="314D7A02"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CB363F3"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Repayment of borrowings</w:t>
            </w:r>
          </w:p>
        </w:tc>
        <w:tc>
          <w:tcPr>
            <w:tcW w:w="1418" w:type="dxa"/>
            <w:noWrap/>
            <w:hideMark/>
          </w:tcPr>
          <w:p w14:paraId="590E25FC" w14:textId="14A6575B"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(22,270)</w:t>
            </w:r>
          </w:p>
        </w:tc>
        <w:tc>
          <w:tcPr>
            <w:tcW w:w="1842" w:type="dxa"/>
            <w:noWrap/>
          </w:tcPr>
          <w:p w14:paraId="0ED4240B" w14:textId="557D43D2"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(90,081)</w:t>
            </w:r>
          </w:p>
        </w:tc>
        <w:tc>
          <w:tcPr>
            <w:tcW w:w="1134" w:type="dxa"/>
            <w:noWrap/>
          </w:tcPr>
          <w:p w14:paraId="7B777842" w14:textId="7408837E" w:rsidR="00410A60" w:rsidRPr="00410A60" w:rsidRDefault="00250002" w:rsidP="00250002">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(17,261)</w:t>
            </w:r>
          </w:p>
        </w:tc>
      </w:tr>
      <w:tr w:rsidR="00410A60" w:rsidRPr="00410A60" w14:paraId="5839CE0A"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44E6649"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Repayment of lease liabilities</w:t>
            </w:r>
          </w:p>
        </w:tc>
        <w:tc>
          <w:tcPr>
            <w:tcW w:w="1418" w:type="dxa"/>
            <w:noWrap/>
            <w:hideMark/>
          </w:tcPr>
          <w:p w14:paraId="4EB6C3E7" w14:textId="54F7E9EA"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(20,687)</w:t>
            </w:r>
          </w:p>
        </w:tc>
        <w:tc>
          <w:tcPr>
            <w:tcW w:w="1842" w:type="dxa"/>
            <w:noWrap/>
          </w:tcPr>
          <w:p w14:paraId="54865666" w14:textId="23C48CDA"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(83,353)</w:t>
            </w:r>
          </w:p>
        </w:tc>
        <w:tc>
          <w:tcPr>
            <w:tcW w:w="1134" w:type="dxa"/>
            <w:noWrap/>
          </w:tcPr>
          <w:p w14:paraId="40AD6CF5" w14:textId="0509CBFB"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(21,220)</w:t>
            </w:r>
          </w:p>
        </w:tc>
      </w:tr>
      <w:tr w:rsidR="00410A60" w:rsidRPr="00410A60" w14:paraId="1681677B"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hideMark/>
          </w:tcPr>
          <w:p w14:paraId="3CA24A12" w14:textId="77777777" w:rsidR="00410A60" w:rsidRPr="00410A60" w:rsidRDefault="00410A60" w:rsidP="00410A60">
            <w:pPr>
              <w:rPr>
                <w:rFonts w:eastAsia="Times New Roman" w:cs="Arial"/>
                <w:b w:val="0"/>
                <w:bCs w:val="0"/>
                <w:color w:val="000000"/>
                <w:szCs w:val="22"/>
                <w:lang w:val="en-AU" w:eastAsia="en-AU"/>
              </w:rPr>
            </w:pPr>
            <w:r w:rsidRPr="00410A60">
              <w:rPr>
                <w:rFonts w:eastAsia="Times New Roman" w:cs="Arial"/>
                <w:color w:val="000000"/>
                <w:szCs w:val="22"/>
                <w:lang w:val="en-AU" w:eastAsia="en-AU"/>
              </w:rPr>
              <w:t>Net cash provided by (used in) financing activities</w:t>
            </w:r>
          </w:p>
        </w:tc>
        <w:tc>
          <w:tcPr>
            <w:tcW w:w="1418" w:type="dxa"/>
            <w:noWrap/>
            <w:hideMark/>
          </w:tcPr>
          <w:p w14:paraId="390078B8" w14:textId="36DD6635" w:rsidR="00410A60" w:rsidRPr="00FB6B0A"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(42,957)</w:t>
            </w:r>
          </w:p>
        </w:tc>
        <w:tc>
          <w:tcPr>
            <w:tcW w:w="1842" w:type="dxa"/>
            <w:noWrap/>
          </w:tcPr>
          <w:p w14:paraId="6223FF10" w14:textId="49B442B2" w:rsidR="00410A60" w:rsidRPr="00FB6B0A"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152,566</w:t>
            </w:r>
          </w:p>
        </w:tc>
        <w:tc>
          <w:tcPr>
            <w:tcW w:w="1134" w:type="dxa"/>
            <w:noWrap/>
          </w:tcPr>
          <w:p w14:paraId="19FCE8F3" w14:textId="2B1AF1A7" w:rsidR="00410A60" w:rsidRPr="00FB6B0A"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75,519</w:t>
            </w:r>
          </w:p>
        </w:tc>
      </w:tr>
      <w:tr w:rsidR="00410A60" w:rsidRPr="00410A60" w14:paraId="653EE787"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7D6B8BCF" w14:textId="77777777" w:rsidR="00410A60" w:rsidRPr="00410A60" w:rsidRDefault="00410A60" w:rsidP="00410A60">
            <w:pPr>
              <w:jc w:val="right"/>
              <w:rPr>
                <w:rFonts w:eastAsia="Times New Roman" w:cs="Arial"/>
                <w:szCs w:val="22"/>
                <w:lang w:val="en-AU" w:eastAsia="en-AU"/>
              </w:rPr>
            </w:pPr>
          </w:p>
        </w:tc>
        <w:tc>
          <w:tcPr>
            <w:tcW w:w="1418" w:type="dxa"/>
            <w:noWrap/>
            <w:hideMark/>
          </w:tcPr>
          <w:p w14:paraId="21DF71E5"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842" w:type="dxa"/>
            <w:noWrap/>
          </w:tcPr>
          <w:p w14:paraId="14213509" w14:textId="77777777" w:rsidR="00410A60" w:rsidRPr="00410A60" w:rsidRDefault="00410A60" w:rsidP="00410A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c>
          <w:tcPr>
            <w:tcW w:w="1134" w:type="dxa"/>
            <w:noWrap/>
          </w:tcPr>
          <w:p w14:paraId="58FC61C0" w14:textId="77777777" w:rsidR="00410A60" w:rsidRPr="00410A60" w:rsidRDefault="00410A60" w:rsidP="00410A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AU" w:eastAsia="en-AU"/>
              </w:rPr>
            </w:pPr>
          </w:p>
        </w:tc>
      </w:tr>
      <w:tr w:rsidR="00410A60" w:rsidRPr="00410A60" w14:paraId="52813923"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39450BA5" w14:textId="77777777" w:rsidR="00410A60" w:rsidRPr="00410A60" w:rsidRDefault="00410A60" w:rsidP="00410A60">
            <w:pPr>
              <w:rPr>
                <w:rFonts w:eastAsia="Times New Roman" w:cs="Arial"/>
                <w:b w:val="0"/>
                <w:bCs w:val="0"/>
                <w:color w:val="000000"/>
                <w:szCs w:val="22"/>
                <w:lang w:val="en-AU" w:eastAsia="en-AU"/>
              </w:rPr>
            </w:pPr>
            <w:r w:rsidRPr="00410A60">
              <w:rPr>
                <w:rFonts w:eastAsia="Times New Roman" w:cs="Arial"/>
                <w:color w:val="000000"/>
                <w:szCs w:val="22"/>
                <w:lang w:val="en-AU" w:eastAsia="en-AU"/>
              </w:rPr>
              <w:t xml:space="preserve">Net increase (decrease) in cash and cash equivalents held </w:t>
            </w:r>
          </w:p>
        </w:tc>
        <w:tc>
          <w:tcPr>
            <w:tcW w:w="1418" w:type="dxa"/>
            <w:noWrap/>
            <w:hideMark/>
          </w:tcPr>
          <w:p w14:paraId="28DC9E79" w14:textId="6019E499" w:rsidR="00410A60" w:rsidRPr="00410A60"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116,507</w:t>
            </w:r>
          </w:p>
        </w:tc>
        <w:tc>
          <w:tcPr>
            <w:tcW w:w="1842" w:type="dxa"/>
            <w:noWrap/>
          </w:tcPr>
          <w:p w14:paraId="32B84028" w14:textId="59865F37" w:rsidR="00410A60" w:rsidRPr="00410A60"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(178,162)</w:t>
            </w:r>
          </w:p>
        </w:tc>
        <w:tc>
          <w:tcPr>
            <w:tcW w:w="1134" w:type="dxa"/>
            <w:noWrap/>
          </w:tcPr>
          <w:p w14:paraId="6181FAD9" w14:textId="4F840C29" w:rsidR="00410A60" w:rsidRPr="00410A60"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163,575</w:t>
            </w:r>
          </w:p>
        </w:tc>
      </w:tr>
      <w:tr w:rsidR="00410A60" w:rsidRPr="00410A60" w14:paraId="54BFDCAB" w14:textId="77777777" w:rsidTr="00302A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4279D98B" w14:textId="77777777" w:rsidR="00410A60" w:rsidRPr="00410A60" w:rsidRDefault="00410A60" w:rsidP="00410A60">
            <w:pPr>
              <w:rPr>
                <w:rFonts w:eastAsia="Times New Roman" w:cs="Arial"/>
                <w:szCs w:val="22"/>
                <w:lang w:val="en-AU" w:eastAsia="en-AU"/>
              </w:rPr>
            </w:pPr>
            <w:r w:rsidRPr="00410A60">
              <w:rPr>
                <w:rFonts w:eastAsia="Times New Roman" w:cs="Arial"/>
                <w:szCs w:val="22"/>
                <w:lang w:val="en-AU" w:eastAsia="en-AU"/>
              </w:rPr>
              <w:t>Cash and cash equivalents at beginning of year</w:t>
            </w:r>
          </w:p>
        </w:tc>
        <w:tc>
          <w:tcPr>
            <w:tcW w:w="1418" w:type="dxa"/>
            <w:noWrap/>
            <w:hideMark/>
          </w:tcPr>
          <w:p w14:paraId="579B7D91" w14:textId="2C6D948B" w:rsidR="00410A60" w:rsidRPr="00410A60" w:rsidRDefault="00250002" w:rsidP="00250002">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529,013</w:t>
            </w:r>
          </w:p>
        </w:tc>
        <w:tc>
          <w:tcPr>
            <w:tcW w:w="1842" w:type="dxa"/>
            <w:noWrap/>
          </w:tcPr>
          <w:p w14:paraId="032CF5E0" w14:textId="0F13F441" w:rsidR="00410A60" w:rsidRPr="00410A60" w:rsidRDefault="00250002"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529,013</w:t>
            </w:r>
          </w:p>
        </w:tc>
        <w:tc>
          <w:tcPr>
            <w:tcW w:w="1134" w:type="dxa"/>
            <w:noWrap/>
          </w:tcPr>
          <w:p w14:paraId="6EE14FD0" w14:textId="4CD4F181" w:rsidR="00410A60" w:rsidRPr="00410A60" w:rsidRDefault="00250002" w:rsidP="00410A60">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100,981</w:t>
            </w:r>
          </w:p>
        </w:tc>
      </w:tr>
      <w:tr w:rsidR="00410A60" w:rsidRPr="00410A60" w14:paraId="6F80155B" w14:textId="77777777" w:rsidTr="00302ABA">
        <w:trPr>
          <w:trHeight w:val="227"/>
        </w:trPr>
        <w:tc>
          <w:tcPr>
            <w:cnfStyle w:val="001000000000" w:firstRow="0" w:lastRow="0" w:firstColumn="1" w:lastColumn="0" w:oddVBand="0" w:evenVBand="0" w:oddHBand="0" w:evenHBand="0" w:firstRowFirstColumn="0" w:firstRowLastColumn="0" w:lastRowFirstColumn="0" w:lastRowLastColumn="0"/>
            <w:tcW w:w="5245" w:type="dxa"/>
            <w:noWrap/>
            <w:hideMark/>
          </w:tcPr>
          <w:p w14:paraId="5F81717F" w14:textId="77777777" w:rsidR="00410A60" w:rsidRPr="00410A60" w:rsidRDefault="00410A60" w:rsidP="00410A60">
            <w:pPr>
              <w:rPr>
                <w:rFonts w:eastAsia="Times New Roman" w:cs="Arial"/>
                <w:b w:val="0"/>
                <w:bCs w:val="0"/>
                <w:color w:val="000000"/>
                <w:szCs w:val="22"/>
                <w:lang w:val="en-AU" w:eastAsia="en-AU"/>
              </w:rPr>
            </w:pPr>
            <w:r w:rsidRPr="00410A60">
              <w:rPr>
                <w:rFonts w:eastAsia="Times New Roman" w:cs="Arial"/>
                <w:color w:val="000000"/>
                <w:szCs w:val="22"/>
                <w:lang w:val="en-AU" w:eastAsia="en-AU"/>
              </w:rPr>
              <w:t>Cash and cash equivalents at period end</w:t>
            </w:r>
          </w:p>
        </w:tc>
        <w:tc>
          <w:tcPr>
            <w:tcW w:w="1418" w:type="dxa"/>
            <w:noWrap/>
            <w:hideMark/>
          </w:tcPr>
          <w:p w14:paraId="03EC0C20" w14:textId="177B7501" w:rsidR="00410A60" w:rsidRPr="00FB6B0A"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645,520</w:t>
            </w:r>
          </w:p>
        </w:tc>
        <w:tc>
          <w:tcPr>
            <w:tcW w:w="1842" w:type="dxa"/>
            <w:noWrap/>
          </w:tcPr>
          <w:p w14:paraId="1199EC30" w14:textId="54A0D69D" w:rsidR="00410A60" w:rsidRPr="00FB6B0A"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350,851</w:t>
            </w:r>
          </w:p>
        </w:tc>
        <w:tc>
          <w:tcPr>
            <w:tcW w:w="1134" w:type="dxa"/>
            <w:noWrap/>
          </w:tcPr>
          <w:p w14:paraId="5906A8A1" w14:textId="50885962" w:rsidR="00410A60" w:rsidRPr="00FB6B0A" w:rsidRDefault="00250002" w:rsidP="00410A60">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264,556</w:t>
            </w:r>
          </w:p>
        </w:tc>
      </w:tr>
    </w:tbl>
    <w:p w14:paraId="492624C7" w14:textId="77777777" w:rsidR="00B24360" w:rsidRDefault="00B24360" w:rsidP="00386B12">
      <w:pPr>
        <w:rPr>
          <w:rFonts w:cs="Arial"/>
          <w:b/>
          <w:bCs/>
          <w:sz w:val="20"/>
          <w:szCs w:val="20"/>
        </w:rPr>
        <w:sectPr w:rsidR="00B24360" w:rsidSect="0013507F">
          <w:headerReference w:type="default" r:id="rId21"/>
          <w:footerReference w:type="default" r:id="rId22"/>
          <w:pgSz w:w="11900" w:h="16840"/>
          <w:pgMar w:top="1440" w:right="1134" w:bottom="1440" w:left="1134" w:header="709" w:footer="709" w:gutter="0"/>
          <w:cols w:space="708"/>
          <w:docGrid w:linePitch="360"/>
        </w:sectPr>
      </w:pPr>
    </w:p>
    <w:p w14:paraId="1174A979" w14:textId="575DCF44" w:rsidR="00386B12" w:rsidRDefault="00386B12" w:rsidP="00386B12">
      <w:pPr>
        <w:rPr>
          <w:rFonts w:cs="Arial"/>
          <w:b/>
          <w:bCs/>
          <w:sz w:val="20"/>
          <w:szCs w:val="20"/>
        </w:rPr>
      </w:pPr>
    </w:p>
    <w:p w14:paraId="43963C62" w14:textId="77777777" w:rsidR="00386B12" w:rsidRDefault="00386B12" w:rsidP="00386B12">
      <w:pPr>
        <w:jc w:val="center"/>
        <w:rPr>
          <w:rFonts w:cs="Arial"/>
          <w:b/>
          <w:bCs/>
          <w:sz w:val="40"/>
          <w:szCs w:val="40"/>
        </w:rPr>
      </w:pPr>
    </w:p>
    <w:p w14:paraId="759742A1" w14:textId="77777777" w:rsidR="00386B12" w:rsidRDefault="00386B12" w:rsidP="00386B12">
      <w:pPr>
        <w:jc w:val="center"/>
        <w:rPr>
          <w:rFonts w:cs="Arial"/>
          <w:b/>
          <w:bCs/>
          <w:sz w:val="40"/>
          <w:szCs w:val="40"/>
        </w:rPr>
      </w:pPr>
    </w:p>
    <w:p w14:paraId="46E4222F" w14:textId="77777777" w:rsidR="00386B12" w:rsidRDefault="00386B12" w:rsidP="00386B12">
      <w:pPr>
        <w:jc w:val="center"/>
        <w:rPr>
          <w:rFonts w:cs="Arial"/>
          <w:b/>
          <w:bCs/>
          <w:sz w:val="40"/>
          <w:szCs w:val="40"/>
        </w:rPr>
      </w:pPr>
    </w:p>
    <w:p w14:paraId="39003D1E" w14:textId="77777777" w:rsidR="00386B12" w:rsidRDefault="00386B12" w:rsidP="00386B12">
      <w:pPr>
        <w:jc w:val="center"/>
        <w:rPr>
          <w:rFonts w:cs="Arial"/>
          <w:b/>
          <w:bCs/>
          <w:sz w:val="40"/>
          <w:szCs w:val="40"/>
        </w:rPr>
      </w:pPr>
    </w:p>
    <w:p w14:paraId="59356BC8" w14:textId="77777777" w:rsidR="00386B12" w:rsidRDefault="00386B12" w:rsidP="00386B12">
      <w:pPr>
        <w:jc w:val="center"/>
        <w:rPr>
          <w:rFonts w:cs="Arial"/>
          <w:b/>
          <w:bCs/>
          <w:sz w:val="40"/>
          <w:szCs w:val="40"/>
        </w:rPr>
      </w:pPr>
    </w:p>
    <w:p w14:paraId="7174C739" w14:textId="7BF2A920" w:rsidR="00386B12" w:rsidRDefault="00386B12" w:rsidP="00EE10D2">
      <w:pPr>
        <w:pStyle w:val="Heading2Councilblue"/>
      </w:pPr>
    </w:p>
    <w:p w14:paraId="274F1854" w14:textId="77777777" w:rsidR="00875C34" w:rsidRDefault="00875C34" w:rsidP="00EE10D2">
      <w:pPr>
        <w:pStyle w:val="Heading2Councilblue"/>
      </w:pPr>
    </w:p>
    <w:p w14:paraId="6603A0E1" w14:textId="09F47234" w:rsidR="00386B12" w:rsidRPr="00CD5746" w:rsidRDefault="00386B12" w:rsidP="0057257F">
      <w:pPr>
        <w:pStyle w:val="Heading2"/>
      </w:pPr>
      <w:bookmarkStart w:id="16" w:name="_Toc111126250"/>
      <w:bookmarkStart w:id="17" w:name="_Toc127436753"/>
      <w:r w:rsidRPr="00CD5746">
        <w:t>S</w:t>
      </w:r>
      <w:r w:rsidR="00CC2DA7">
        <w:t>ection</w:t>
      </w:r>
      <w:r w:rsidRPr="00CD5746">
        <w:t xml:space="preserve"> 2</w:t>
      </w:r>
      <w:r w:rsidR="003E7275" w:rsidRPr="00CD5746">
        <w:t xml:space="preserve"> – A</w:t>
      </w:r>
      <w:r w:rsidR="00CC2DA7">
        <w:t>nnual</w:t>
      </w:r>
      <w:r w:rsidRPr="00CD5746">
        <w:t xml:space="preserve"> </w:t>
      </w:r>
      <w:r w:rsidR="007249F6">
        <w:t>O</w:t>
      </w:r>
      <w:r w:rsidR="00CC2DA7">
        <w:t>perational</w:t>
      </w:r>
      <w:r w:rsidR="007249F6">
        <w:t xml:space="preserve"> </w:t>
      </w:r>
      <w:r w:rsidRPr="00CD5746">
        <w:t>P</w:t>
      </w:r>
      <w:r w:rsidR="00CC2DA7">
        <w:t>lan</w:t>
      </w:r>
      <w:r w:rsidRPr="00CD5746">
        <w:t xml:space="preserve"> </w:t>
      </w:r>
      <w:bookmarkEnd w:id="16"/>
      <w:r w:rsidR="00B21BFA">
        <w:t>P</w:t>
      </w:r>
      <w:r w:rsidR="00CC2DA7">
        <w:t>rogress</w:t>
      </w:r>
      <w:r w:rsidR="008B155F">
        <w:t xml:space="preserve"> R</w:t>
      </w:r>
      <w:r w:rsidR="00CC2DA7">
        <w:t>eport</w:t>
      </w:r>
      <w:bookmarkEnd w:id="17"/>
    </w:p>
    <w:p w14:paraId="43FEDA90" w14:textId="1D7D6B63" w:rsidR="00A85CB3" w:rsidRDefault="00A85CB3" w:rsidP="00386B12">
      <w:pPr>
        <w:rPr>
          <w:rFonts w:cs="Arial"/>
          <w:b/>
          <w:bCs/>
          <w:sz w:val="40"/>
          <w:szCs w:val="40"/>
        </w:rPr>
      </w:pPr>
    </w:p>
    <w:p w14:paraId="41056016" w14:textId="77777777" w:rsidR="00A85CB3" w:rsidRDefault="00A85CB3" w:rsidP="00386B12">
      <w:pPr>
        <w:rPr>
          <w:rFonts w:cs="Arial"/>
          <w:b/>
          <w:bCs/>
          <w:sz w:val="40"/>
          <w:szCs w:val="40"/>
        </w:rPr>
      </w:pPr>
    </w:p>
    <w:p w14:paraId="48FA317B" w14:textId="6F8D8642" w:rsidR="00A85CB3" w:rsidRDefault="00A85CB3" w:rsidP="00386B12">
      <w:pPr>
        <w:rPr>
          <w:rFonts w:cs="Arial"/>
          <w:b/>
          <w:bCs/>
          <w:sz w:val="40"/>
          <w:szCs w:val="40"/>
        </w:rPr>
        <w:sectPr w:rsidR="00A85CB3" w:rsidSect="0013507F">
          <w:footerReference w:type="default" r:id="rId23"/>
          <w:pgSz w:w="11900" w:h="16840"/>
          <w:pgMar w:top="1440" w:right="1134" w:bottom="1440" w:left="1134" w:header="709" w:footer="709" w:gutter="0"/>
          <w:cols w:space="708"/>
          <w:docGrid w:linePitch="360"/>
        </w:sectPr>
      </w:pPr>
    </w:p>
    <w:p w14:paraId="0D974965" w14:textId="228CBF4C" w:rsidR="00386B12" w:rsidRPr="00A85CB3" w:rsidRDefault="00386B12" w:rsidP="0057257F">
      <w:pPr>
        <w:pStyle w:val="Heading3"/>
      </w:pPr>
      <w:bookmarkStart w:id="18" w:name="_Toc111123772"/>
      <w:bookmarkStart w:id="19" w:name="_Toc111123992"/>
      <w:bookmarkStart w:id="20" w:name="_Toc111126251"/>
      <w:bookmarkStart w:id="21" w:name="_Toc127436754"/>
      <w:r w:rsidRPr="00A85CB3">
        <w:lastRenderedPageBreak/>
        <w:t xml:space="preserve">Program 1 </w:t>
      </w:r>
      <w:r w:rsidR="00C35B98" w:rsidRPr="00A85CB3">
        <w:t>–</w:t>
      </w:r>
      <w:r w:rsidR="001D111B" w:rsidRPr="00A85CB3">
        <w:t xml:space="preserve"> </w:t>
      </w:r>
      <w:r w:rsidR="00C35B98" w:rsidRPr="00A85CB3">
        <w:t>T</w:t>
      </w:r>
      <w:r w:rsidRPr="00A85CB3">
        <w:t>ransport for Brisbane</w:t>
      </w:r>
      <w:bookmarkEnd w:id="18"/>
      <w:bookmarkEnd w:id="19"/>
      <w:bookmarkEnd w:id="20"/>
      <w:bookmarkEnd w:id="21"/>
    </w:p>
    <w:p w14:paraId="7FE75671" w14:textId="77777777" w:rsidR="00386B12" w:rsidRPr="00DB6510" w:rsidRDefault="00386B12" w:rsidP="00386B12">
      <w:pPr>
        <w:ind w:hanging="284"/>
        <w:rPr>
          <w:rFonts w:cs="Arial"/>
          <w:b/>
          <w:bCs/>
          <w:szCs w:val="22"/>
        </w:rPr>
      </w:pPr>
    </w:p>
    <w:p w14:paraId="68EC3A70" w14:textId="393C278C" w:rsidR="00386B12" w:rsidRDefault="008162D5" w:rsidP="00386B12">
      <w:pPr>
        <w:jc w:val="center"/>
        <w:rPr>
          <w:rFonts w:cs="Arial"/>
          <w:b/>
          <w:bCs/>
          <w:sz w:val="20"/>
          <w:szCs w:val="20"/>
        </w:rPr>
      </w:pPr>
      <w:r>
        <w:rPr>
          <w:noProof/>
        </w:rPr>
        <w:drawing>
          <wp:inline distT="0" distB="0" distL="0" distR="0" wp14:anchorId="53C5FA4D" wp14:editId="2433FC96">
            <wp:extent cx="6116320" cy="1626870"/>
            <wp:effectExtent l="0" t="0" r="0" b="0"/>
            <wp:docPr id="206" name="Picture 206" descr="This graph shows Program 1 - Transport for Brisbane revenue, operating expenses and capital expenditure for the period ended September 2022, against the approved annual budget.&#10;&#10;Revenue&#10;$15.3 million (actual)&#10;$166.8 million (approved annual budget)&#10;&#10;Operating expenses&#10;$52.4 million (actual)&#10;$224.9 million (approved annual budget)&#10;&#10;Capital expenditure&#10;$130.4 million (actual)&#10;$536.9 million (approved annual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This graph shows Program 1 - Transport for Brisbane revenue, operating expenses and capital expenditure for the period ended September 2022, against the approved annual budget.&#10;&#10;Revenue&#10;$15.3 million (actual)&#10;$166.8 million (approved annual budget)&#10;&#10;Operating expenses&#10;$52.4 million (actual)&#10;$224.9 million (approved annual budget)&#10;&#10;Capital expenditure&#10;$130.4 million (actual)&#10;$536.9 million (approved annual budget)"/>
                    <pic:cNvPicPr/>
                  </pic:nvPicPr>
                  <pic:blipFill>
                    <a:blip r:embed="rId24"/>
                    <a:stretch>
                      <a:fillRect/>
                    </a:stretch>
                  </pic:blipFill>
                  <pic:spPr>
                    <a:xfrm>
                      <a:off x="0" y="0"/>
                      <a:ext cx="6116320" cy="1626870"/>
                    </a:xfrm>
                    <a:prstGeom prst="rect">
                      <a:avLst/>
                    </a:prstGeom>
                  </pic:spPr>
                </pic:pic>
              </a:graphicData>
            </a:graphic>
          </wp:inline>
        </w:drawing>
      </w:r>
    </w:p>
    <w:p w14:paraId="498AD199" w14:textId="7ED208C1" w:rsidR="00386B12" w:rsidRPr="00E7674D" w:rsidRDefault="00386B12" w:rsidP="00633202">
      <w:pPr>
        <w:jc w:val="center"/>
        <w:rPr>
          <w:rFonts w:cs="Arial"/>
          <w:b/>
          <w:bCs/>
          <w:szCs w:val="22"/>
        </w:rPr>
      </w:pPr>
    </w:p>
    <w:p w14:paraId="6D97BE89" w14:textId="1F2B2D82" w:rsidR="00386B12" w:rsidRDefault="00386B12" w:rsidP="00EE10D2">
      <w:pPr>
        <w:pStyle w:val="Heading4black"/>
      </w:pPr>
      <w:r w:rsidRPr="000975D2">
        <w:t>Program financial results</w:t>
      </w:r>
    </w:p>
    <w:p w14:paraId="567D9650" w14:textId="2AFC5CD8" w:rsidR="002514F1" w:rsidRDefault="002514F1" w:rsidP="00EE10D2"/>
    <w:p w14:paraId="138AB8F0" w14:textId="77777777" w:rsidR="002514F1" w:rsidRPr="002514F1" w:rsidRDefault="002514F1" w:rsidP="00EE10D2">
      <w:pPr>
        <w:rPr>
          <w:rFonts w:eastAsia="Calibri"/>
        </w:rPr>
      </w:pPr>
      <w:r w:rsidRPr="002514F1">
        <w:rPr>
          <w:rFonts w:eastAsia="Calibri"/>
        </w:rPr>
        <w:t xml:space="preserve">Overall, revenue for the period is on track against budget. </w:t>
      </w:r>
    </w:p>
    <w:p w14:paraId="4BE58729" w14:textId="77777777" w:rsidR="002514F1" w:rsidRPr="002514F1" w:rsidRDefault="002514F1" w:rsidP="00EE10D2"/>
    <w:p w14:paraId="3F7EFDAC" w14:textId="77777777" w:rsidR="002514F1" w:rsidRPr="002514F1" w:rsidRDefault="002514F1" w:rsidP="00EE10D2">
      <w:r w:rsidRPr="002514F1">
        <w:t>Operating expenses are below budget during the period mainly due to:</w:t>
      </w:r>
    </w:p>
    <w:p w14:paraId="05D677CB" w14:textId="20270268" w:rsidR="002514F1" w:rsidRPr="00254526" w:rsidRDefault="002A3A20" w:rsidP="00EE10D2">
      <w:r w:rsidRPr="00254526">
        <w:t>Rephased</w:t>
      </w:r>
      <w:r w:rsidR="00D73D7F" w:rsidRPr="00254526">
        <w:t xml:space="preserve"> expenditure in the Providing Active Transport Infrastructure strategy, primarily due to efficiencies achieved in completing the immediate and short</w:t>
      </w:r>
      <w:r w:rsidR="002E09EC" w:rsidRPr="00254526">
        <w:t>-</w:t>
      </w:r>
      <w:r w:rsidR="00D73D7F" w:rsidRPr="00254526">
        <w:t xml:space="preserve">term bikeway network flood recovery work. </w:t>
      </w:r>
      <w:r w:rsidRPr="00254526">
        <w:t>This will continue to be monitored throughout the year and be adjusted at a future budget review if required.</w:t>
      </w:r>
    </w:p>
    <w:p w14:paraId="0FBE6517" w14:textId="428B4179" w:rsidR="002514F1" w:rsidRPr="00254526" w:rsidRDefault="002514F1" w:rsidP="00EE10D2">
      <w:r w:rsidRPr="00254526">
        <w:t>Rephased expenditure in the Providing High Quality Ferry Services strategy, mainly relating to activities for ferry services and maintenance. This is expected to materially align with the annual budget at the end of the financial year.</w:t>
      </w:r>
    </w:p>
    <w:p w14:paraId="1638DBA1" w14:textId="77777777" w:rsidR="002514F1" w:rsidRPr="00254526" w:rsidRDefault="002514F1" w:rsidP="00EE10D2"/>
    <w:p w14:paraId="1E4E72C7" w14:textId="77777777" w:rsidR="002514F1" w:rsidRPr="00254526" w:rsidRDefault="002514F1" w:rsidP="00EE10D2">
      <w:r w:rsidRPr="00254526">
        <w:t>Capital expenditure is below budget during the period mainly due to:</w:t>
      </w:r>
    </w:p>
    <w:p w14:paraId="4295F41D" w14:textId="1132496D" w:rsidR="002514F1" w:rsidRPr="00254526" w:rsidRDefault="002514F1" w:rsidP="00EE10D2">
      <w:r w:rsidRPr="00254526">
        <w:t>Rephased expenditure in the Brisbane Metro strategy, mainly relating to the Brisbane Metro project. This is expected to materially align with the annual budget at the end of the financial year.</w:t>
      </w:r>
    </w:p>
    <w:p w14:paraId="0DC2E2BE" w14:textId="5B46C117" w:rsidR="002514F1" w:rsidRPr="00254526" w:rsidRDefault="002514F1" w:rsidP="00EE10D2">
      <w:r w:rsidRPr="00254526">
        <w:t>Rephased expenditure in the Providing Active Transport Infrastructure strategy, mainly relating to the Green Bridges Program. This is expected to materially align with the annual budget at the end of the financial year.</w:t>
      </w:r>
    </w:p>
    <w:p w14:paraId="176ECFB0" w14:textId="77777777" w:rsidR="002A3A20" w:rsidRPr="00254526" w:rsidRDefault="002A3A20" w:rsidP="00EE10D2">
      <w:r w:rsidRPr="00254526">
        <w:t>Rephased</w:t>
      </w:r>
      <w:r w:rsidR="00A43F14" w:rsidRPr="00254526">
        <w:t xml:space="preserve"> expenditure in the Providing Active Transport Infrastructure strategy, primarily due to efficiencies achieved in completing the short-term bikeway network flood recovery work which included restoration of connectivity in and around two locations along Kedron Brook Bikeway near Royal Parade, Alderley and Kalinga Park, Kalinga. </w:t>
      </w:r>
      <w:r w:rsidRPr="00254526">
        <w:t>This will continue to be monitored throughout the year and be adjusted at a future budget review if required.</w:t>
      </w:r>
    </w:p>
    <w:p w14:paraId="17683F4E" w14:textId="11225BFF" w:rsidR="00C97D8E" w:rsidRDefault="00C97D8E" w:rsidP="00CB56D0">
      <w:pPr>
        <w:pStyle w:val="ListParagraph"/>
        <w:jc w:val="both"/>
        <w:rPr>
          <w:noProof/>
        </w:rPr>
      </w:pPr>
    </w:p>
    <w:p w14:paraId="7D37617B" w14:textId="1690E955" w:rsidR="00840BF0" w:rsidRDefault="008162D5" w:rsidP="008162D5">
      <w:pPr>
        <w:jc w:val="center"/>
        <w:rPr>
          <w:rFonts w:cs="Arial"/>
        </w:rPr>
      </w:pPr>
      <w:r>
        <w:rPr>
          <w:noProof/>
        </w:rPr>
        <w:drawing>
          <wp:inline distT="0" distB="0" distL="0" distR="0" wp14:anchorId="505412BB" wp14:editId="2A4DFEAA">
            <wp:extent cx="5819775" cy="1885950"/>
            <wp:effectExtent l="0" t="0" r="9525" b="0"/>
            <wp:docPr id="213" name="Picture 213" descr="This graph shows Program 1 - Transport for Brisbane total expenses (operating and capital) by strategy for the period ended September 2022.&#10;&#10;Brisbane Metro $94.9 million&#10;Providing Active Transport Infrastructure $35.2 million&#10;Providing High Quality Bus Services $29.6 million&#10;Providing High Quality Ferry Services $21.8 million&#10;Other strategies $1.3 million&#10;Total expenses by strategy (operating and capital) $182.8 million&#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This graph shows Program 1 - Transport for Brisbane total expenses (operating and capital) by strategy for the period ended September 2022.&#10;&#10;Brisbane Metro $94.9 million&#10;Providing Active Transport Infrastructure $35.2 million&#10;Providing High Quality Bus Services $29.6 million&#10;Providing High Quality Ferry Services $21.8 million&#10;Other strategies $1.3 million&#10;Total expenses by strategy (operating and capital) $182.8 million&#10;&#10;&#10;"/>
                    <pic:cNvPicPr/>
                  </pic:nvPicPr>
                  <pic:blipFill>
                    <a:blip r:embed="rId25"/>
                    <a:stretch>
                      <a:fillRect/>
                    </a:stretch>
                  </pic:blipFill>
                  <pic:spPr>
                    <a:xfrm>
                      <a:off x="0" y="0"/>
                      <a:ext cx="5819775" cy="1885950"/>
                    </a:xfrm>
                    <a:prstGeom prst="rect">
                      <a:avLst/>
                    </a:prstGeom>
                  </pic:spPr>
                </pic:pic>
              </a:graphicData>
            </a:graphic>
          </wp:inline>
        </w:drawing>
      </w:r>
    </w:p>
    <w:p w14:paraId="4BD26886" w14:textId="5499BB03" w:rsidR="00F61ACF" w:rsidRDefault="00F61ACF" w:rsidP="00BE34DF">
      <w:pPr>
        <w:jc w:val="center"/>
      </w:pPr>
    </w:p>
    <w:p w14:paraId="7EB796EF" w14:textId="77777777" w:rsidR="00282014" w:rsidRDefault="00282014" w:rsidP="00F87C7E">
      <w:pPr>
        <w:pStyle w:val="NormalCouncilblue"/>
        <w:spacing w:after="0"/>
        <w:rPr>
          <w:b/>
          <w:bCs/>
          <w:sz w:val="24"/>
          <w:szCs w:val="24"/>
        </w:rPr>
      </w:pPr>
    </w:p>
    <w:p w14:paraId="7E5888C8" w14:textId="68B18E93" w:rsidR="00F87C7E" w:rsidRDefault="0034486D" w:rsidP="00723B7B">
      <w:pPr>
        <w:pStyle w:val="Heading4black"/>
      </w:pPr>
      <w:r w:rsidRPr="0013507F">
        <w:lastRenderedPageBreak/>
        <w:t>H</w:t>
      </w:r>
      <w:r w:rsidR="00386B12" w:rsidRPr="0013507F">
        <w:t xml:space="preserve">ighlights and updates on key </w:t>
      </w:r>
      <w:r w:rsidRPr="0013507F">
        <w:t>program strategies</w:t>
      </w:r>
      <w:r w:rsidR="00386B12" w:rsidRPr="0013507F">
        <w:t xml:space="preserve"> </w:t>
      </w:r>
      <w:r w:rsidRPr="0013507F">
        <w:t>from</w:t>
      </w:r>
      <w:r w:rsidR="00386B12" w:rsidRPr="0013507F">
        <w:t xml:space="preserve"> the </w:t>
      </w:r>
      <w:r w:rsidRPr="0013507F">
        <w:t>A</w:t>
      </w:r>
      <w:r w:rsidR="00386B12" w:rsidRPr="0013507F">
        <w:t xml:space="preserve">nnual </w:t>
      </w:r>
      <w:r w:rsidRPr="0013507F">
        <w:t>O</w:t>
      </w:r>
      <w:r w:rsidR="00386B12" w:rsidRPr="0013507F">
        <w:t xml:space="preserve">perational </w:t>
      </w:r>
      <w:r w:rsidRPr="0013507F">
        <w:t>P</w:t>
      </w:r>
      <w:r w:rsidR="00386B12" w:rsidRPr="0013507F">
        <w:t>lan</w:t>
      </w:r>
    </w:p>
    <w:p w14:paraId="243F1EB6" w14:textId="77777777" w:rsidR="00F87C7E" w:rsidRPr="000975D2" w:rsidRDefault="00F87C7E" w:rsidP="00F87C7E">
      <w:pPr>
        <w:pStyle w:val="NormalCouncilblue"/>
        <w:spacing w:after="0" w:line="240" w:lineRule="auto"/>
        <w:rPr>
          <w:b/>
          <w:bCs/>
        </w:rPr>
      </w:pPr>
    </w:p>
    <w:tbl>
      <w:tblPr>
        <w:tblStyle w:val="ListTable3-Accent1"/>
        <w:tblW w:w="9634" w:type="dxa"/>
        <w:tblBorders>
          <w:insideH w:val="single" w:sz="4" w:space="0" w:color="4472C4" w:themeColor="accent1"/>
          <w:insideV w:val="single" w:sz="4" w:space="0" w:color="auto"/>
        </w:tblBorders>
        <w:tblLook w:val="04A0" w:firstRow="1" w:lastRow="0" w:firstColumn="1" w:lastColumn="0" w:noHBand="0" w:noVBand="1"/>
        <w:tblCaption w:val="Highlights and Updates in key program strategies for the Annual Operational Plan"/>
        <w:tblDescription w:val="Strategy, Highlights and updates.&#10;Providing Active Transport Infrastructure&#10;Commenced construction (marine piling) of the Kangaroo Point&#10;Green Bridge and Breakfast Creek Green Bridge.&#10;• Works well underway at five project sites to reinstate connectivity of&#10;the Kedron Brook Bikeway following the S,E,Q,R,F,E 2022.&#10;• Completed signage and lighting restoration following damage&#10;caused by the S,E,Q,R,F,E 2022, which impacted 170 kilometres of&#10;the active transport network across more than 55 bikeways and&#10;shared paths.&#10;• Completed construction works resulting in the connection of&#10;footpaths near St Margaret's Anglican Girls School on Kidston&#10;Street and Towers Street, As,scott, for the Safer Paths to School&#10;Suburban Works Program. This work improved access to safe and&#10;connected pathways for students and teachers travelling to and&#10;from the school.&#10;• Completed removals of bicycle deflection rails (commonly known&#10;as ‘banana bars’) at Robertson Park, Ta,ringa; Tan,dara Street, The&#10;Gap; and Bun,gama Street and Blackwood Street, Dee,gan.&#10;• Commenced trial of two solar powered Bicycle Awareness&#10;Monitors, with installation at Kangaroo Point Bikeway, approaching&#10;the Riverlife Adventure Centre, for those travelling northbound and&#10;southbound.&#10;• Commenced e-scooter rack trial in July, with installation of two&#10;e-scooter racks in the Central Business District (CBD).&#10;Providing High quality ferry services&#10;Commenced construction of replacement CityCat. • Awarded contract for two flood recovery works packages to reinstate eight ferry terminals impacted by the S,E,Q,R,F,E 2022.&#10;Brisbane Metro &#10;Cultural Centre station upgrade and precinct enhancement works&#10;have commenced, with the temporary Cultural Centre station&#10;Platform 2 being relocated.&#10; Commenced construction works for the end of route charging at the&#10;University of Queensland Lakes station.&#10;Successfully completed required testing activities on the pilot metro&#10;vehicle to achieve the initial fleet order notice and an order for the&#10;remaining 59 vehicles was placed.&#10; Displayed the pilot metro vehicle at this year's Royal Queensland&#10;Show (Ekka), attracting more than 15,500 visitors.&#10;Prepared for community consultation in October 2022, with&#10;significant progress made in developing network engagement&#10;communication tools and materials.&#10; Achieved significant progress in the construction of the new depot&#10;in Rowch-dale, with the completion of the administration building&#10;pad.&#10;"/>
      </w:tblPr>
      <w:tblGrid>
        <w:gridCol w:w="2405"/>
        <w:gridCol w:w="7229"/>
      </w:tblGrid>
      <w:tr w:rsidR="00A71510" w:rsidRPr="00ED3210" w14:paraId="71741BB0" w14:textId="77777777" w:rsidTr="002C2E9A">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single" w:sz="4" w:space="0" w:color="4472C4" w:themeColor="accent1"/>
            </w:tcBorders>
          </w:tcPr>
          <w:p w14:paraId="3E13CC88" w14:textId="338F0F6B" w:rsidR="00A71510" w:rsidRPr="00A71510" w:rsidRDefault="00A71510" w:rsidP="00EE10D2">
            <w:pPr>
              <w:rPr>
                <w:color w:val="0070C0"/>
              </w:rPr>
            </w:pPr>
            <w:r w:rsidRPr="00A71510">
              <w:t>Strategy</w:t>
            </w:r>
          </w:p>
        </w:tc>
        <w:tc>
          <w:tcPr>
            <w:tcW w:w="7229" w:type="dxa"/>
            <w:tcBorders>
              <w:left w:val="single" w:sz="4" w:space="0" w:color="4472C4" w:themeColor="accent1"/>
            </w:tcBorders>
          </w:tcPr>
          <w:p w14:paraId="189A45CA" w14:textId="071241EF" w:rsidR="00A71510" w:rsidRPr="00ED3210" w:rsidRDefault="00A71510" w:rsidP="00EE10D2">
            <w:pPr>
              <w:cnfStyle w:val="100000000000" w:firstRow="1" w:lastRow="0" w:firstColumn="0" w:lastColumn="0" w:oddVBand="0" w:evenVBand="0" w:oddHBand="0" w:evenHBand="0" w:firstRowFirstColumn="0" w:firstRowLastColumn="0" w:lastRowFirstColumn="0" w:lastRowLastColumn="0"/>
              <w:rPr>
                <w:color w:val="auto"/>
              </w:rPr>
            </w:pPr>
            <w:r>
              <w:t>Highlights and updates</w:t>
            </w:r>
          </w:p>
        </w:tc>
      </w:tr>
      <w:tr w:rsidR="00AA1E41" w:rsidRPr="00ED3210" w14:paraId="366BDD28" w14:textId="77777777" w:rsidTr="002C2E9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single" w:sz="4" w:space="0" w:color="4472C4" w:themeColor="accent1"/>
            </w:tcBorders>
          </w:tcPr>
          <w:p w14:paraId="0E572FD1" w14:textId="4F5A9A15" w:rsidR="00AA1E41" w:rsidRPr="00DB6510" w:rsidRDefault="00AA1E41" w:rsidP="00EE10D2">
            <w:pPr>
              <w:rPr>
                <w:rFonts w:eastAsiaTheme="minorEastAsia"/>
              </w:rPr>
            </w:pPr>
            <w:r w:rsidRPr="00DB6510">
              <w:rPr>
                <w:rFonts w:eastAsiaTheme="minorEastAsia"/>
              </w:rPr>
              <w:t>Providing Active Transport Infrastructure</w:t>
            </w:r>
          </w:p>
        </w:tc>
        <w:tc>
          <w:tcPr>
            <w:tcW w:w="7229" w:type="dxa"/>
            <w:tcBorders>
              <w:top w:val="none" w:sz="0" w:space="0" w:color="auto"/>
              <w:left w:val="single" w:sz="4" w:space="0" w:color="4472C4" w:themeColor="accent1"/>
              <w:bottom w:val="none" w:sz="0" w:space="0" w:color="auto"/>
            </w:tcBorders>
          </w:tcPr>
          <w:p w14:paraId="4F94F0BF" w14:textId="77777777" w:rsidR="002514F1" w:rsidRPr="002514F1" w:rsidRDefault="002514F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514F1">
              <w:rPr>
                <w:rFonts w:eastAsiaTheme="minorEastAsia"/>
              </w:rPr>
              <w:t>Commenced construction (marine piling) of the Kangaroo Point Green Bridge and Breakfast Creek Green Bridge.</w:t>
            </w:r>
          </w:p>
          <w:p w14:paraId="1FE4A362" w14:textId="6D0EFB69" w:rsidR="002514F1" w:rsidRPr="002514F1" w:rsidRDefault="002514F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514F1">
              <w:rPr>
                <w:rFonts w:eastAsiaTheme="minorEastAsia"/>
              </w:rPr>
              <w:t>Works well underway at five project sites to reinstate connectivity of the Kedron Brook Bikeway following the SEQ</w:t>
            </w:r>
            <w:r w:rsidR="000C2126">
              <w:rPr>
                <w:rFonts w:eastAsiaTheme="minorEastAsia"/>
              </w:rPr>
              <w:t xml:space="preserve">RFE </w:t>
            </w:r>
            <w:r w:rsidRPr="002514F1">
              <w:rPr>
                <w:rFonts w:eastAsiaTheme="minorEastAsia"/>
              </w:rPr>
              <w:t>2022.</w:t>
            </w:r>
          </w:p>
          <w:p w14:paraId="65899DEB" w14:textId="190A4C15" w:rsidR="008F0DCE" w:rsidRDefault="00BC27B3"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BC27B3">
              <w:rPr>
                <w:rFonts w:eastAsiaTheme="minorEastAsia"/>
              </w:rPr>
              <w:t xml:space="preserve">Completed signage and lighting restoration following damage caused by the </w:t>
            </w:r>
            <w:r w:rsidR="008F0DCE">
              <w:rPr>
                <w:rFonts w:eastAsiaTheme="minorEastAsia"/>
              </w:rPr>
              <w:t>SEQ</w:t>
            </w:r>
            <w:r w:rsidR="00D628B1">
              <w:rPr>
                <w:rFonts w:eastAsiaTheme="minorEastAsia"/>
              </w:rPr>
              <w:t xml:space="preserve">RFE </w:t>
            </w:r>
            <w:r w:rsidRPr="00BC27B3">
              <w:rPr>
                <w:rFonts w:eastAsiaTheme="minorEastAsia"/>
              </w:rPr>
              <w:t xml:space="preserve">2022, which impacted 170 kilometres of the active transport network across more than 55 bikeways and shared paths. </w:t>
            </w:r>
          </w:p>
          <w:p w14:paraId="7C1EF9F0" w14:textId="6791F5A5" w:rsidR="002514F1" w:rsidRPr="002514F1" w:rsidRDefault="002514F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514F1">
              <w:rPr>
                <w:rFonts w:eastAsiaTheme="minorEastAsia"/>
              </w:rPr>
              <w:t>Completed construction works resulting in the connection of footpaths near St Margaret's Anglican Girls School on Kidston Street and Towers Street, Ascot, for the Safer Paths to School Suburban Works Program. This work improved access to safe and connected pathways for students and teachers travelling to and from the school.</w:t>
            </w:r>
          </w:p>
          <w:p w14:paraId="4B6769EB" w14:textId="77777777" w:rsidR="002514F1" w:rsidRPr="002514F1" w:rsidRDefault="002514F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514F1">
              <w:rPr>
                <w:rFonts w:eastAsiaTheme="minorEastAsia"/>
              </w:rPr>
              <w:t xml:space="preserve">Completed removals of bicycle deflection rails (commonly known as ‘banana bars’) at Robertson Park, Taringa; Tandara Street, The Gap; and </w:t>
            </w:r>
            <w:proofErr w:type="spellStart"/>
            <w:r w:rsidRPr="002514F1">
              <w:rPr>
                <w:rFonts w:eastAsiaTheme="minorEastAsia"/>
              </w:rPr>
              <w:t>Bungama</w:t>
            </w:r>
            <w:proofErr w:type="spellEnd"/>
            <w:r w:rsidRPr="002514F1">
              <w:rPr>
                <w:rFonts w:eastAsiaTheme="minorEastAsia"/>
              </w:rPr>
              <w:t xml:space="preserve"> Street and Blackwood Street, Deagon.</w:t>
            </w:r>
          </w:p>
          <w:p w14:paraId="59572E6B" w14:textId="77777777" w:rsidR="002514F1" w:rsidRPr="002514F1" w:rsidRDefault="002514F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514F1">
              <w:rPr>
                <w:rFonts w:eastAsiaTheme="minorEastAsia"/>
              </w:rPr>
              <w:t xml:space="preserve">Commenced trial of two solar powered Bicycle Awareness Monitors, with installation at Kangaroo Point Bikeway, approaching the </w:t>
            </w:r>
            <w:proofErr w:type="spellStart"/>
            <w:r w:rsidRPr="002514F1">
              <w:rPr>
                <w:rFonts w:eastAsiaTheme="minorEastAsia"/>
              </w:rPr>
              <w:t>Riverlife</w:t>
            </w:r>
            <w:proofErr w:type="spellEnd"/>
            <w:r w:rsidRPr="002514F1">
              <w:rPr>
                <w:rFonts w:eastAsiaTheme="minorEastAsia"/>
              </w:rPr>
              <w:t xml:space="preserve"> Adventure Centre, for those travelling northbound and southbound.</w:t>
            </w:r>
          </w:p>
          <w:p w14:paraId="7F69AFC2" w14:textId="77777777" w:rsidR="00E573C3" w:rsidRDefault="002514F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514F1">
              <w:rPr>
                <w:rFonts w:eastAsiaTheme="minorEastAsia"/>
              </w:rPr>
              <w:t xml:space="preserve">Commenced e-scooter rack trial in July, with installation of two </w:t>
            </w:r>
          </w:p>
          <w:p w14:paraId="295673F9" w14:textId="3E4886D7" w:rsidR="00DB6510" w:rsidRDefault="002514F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514F1">
              <w:rPr>
                <w:rFonts w:eastAsiaTheme="minorEastAsia"/>
              </w:rPr>
              <w:t>e-scooter racks in the Central Business District (CBD).</w:t>
            </w:r>
          </w:p>
          <w:p w14:paraId="41D22896" w14:textId="5676DF04" w:rsidR="0059363E" w:rsidRPr="00DB6510" w:rsidRDefault="0059363E" w:rsidP="00EE10D2">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A1E41" w:rsidRPr="00ED3210" w14:paraId="64C1637D" w14:textId="77777777" w:rsidTr="002C2E9A">
        <w:trPr>
          <w:trHeight w:val="96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63101920" w14:textId="0B1318FF" w:rsidR="00AA1E41" w:rsidRPr="00AB778F" w:rsidRDefault="00C70651" w:rsidP="00EE10D2">
            <w:pPr>
              <w:rPr>
                <w:b w:val="0"/>
                <w:noProof/>
                <w:snapToGrid w:val="0"/>
                <w:lang w:val="en-US"/>
              </w:rPr>
            </w:pPr>
            <w:r>
              <w:rPr>
                <w:rFonts w:eastAsia="Arial"/>
              </w:rPr>
              <w:t xml:space="preserve">Providing High Quality </w:t>
            </w:r>
            <w:r w:rsidR="00AA1E41" w:rsidRPr="2D549898">
              <w:rPr>
                <w:rFonts w:eastAsia="Arial"/>
              </w:rPr>
              <w:t>Ferry</w:t>
            </w:r>
            <w:r>
              <w:rPr>
                <w:rFonts w:eastAsia="Arial"/>
              </w:rPr>
              <w:t xml:space="preserve"> Services</w:t>
            </w:r>
          </w:p>
        </w:tc>
        <w:tc>
          <w:tcPr>
            <w:tcW w:w="7229" w:type="dxa"/>
            <w:tcBorders>
              <w:left w:val="single" w:sz="4" w:space="0" w:color="4472C4" w:themeColor="accent1"/>
            </w:tcBorders>
          </w:tcPr>
          <w:p w14:paraId="1BC72946" w14:textId="57B0054A" w:rsidR="00D945EE" w:rsidRPr="00D945EE" w:rsidRDefault="00BA1583" w:rsidP="00EE10D2">
            <w:pPr>
              <w:cnfStyle w:val="000000000000" w:firstRow="0" w:lastRow="0" w:firstColumn="0" w:lastColumn="0" w:oddVBand="0" w:evenVBand="0" w:oddHBand="0" w:evenHBand="0" w:firstRowFirstColumn="0" w:firstRowLastColumn="0" w:lastRowFirstColumn="0" w:lastRowLastColumn="0"/>
              <w:rPr>
                <w:bCs/>
                <w:noProof/>
                <w:snapToGrid w:val="0"/>
                <w:lang w:val="en-US"/>
              </w:rPr>
            </w:pPr>
            <w:r w:rsidRPr="00BA1583">
              <w:rPr>
                <w:rFonts w:eastAsiaTheme="minorEastAsia"/>
              </w:rPr>
              <w:t xml:space="preserve">Commenced construction of replacement </w:t>
            </w:r>
            <w:proofErr w:type="spellStart"/>
            <w:r w:rsidRPr="00BA1583">
              <w:rPr>
                <w:rFonts w:eastAsiaTheme="minorEastAsia"/>
              </w:rPr>
              <w:t>CityCat</w:t>
            </w:r>
            <w:proofErr w:type="spellEnd"/>
            <w:r w:rsidRPr="00BA1583">
              <w:rPr>
                <w:rFonts w:eastAsiaTheme="minorEastAsia"/>
              </w:rPr>
              <w:t>.</w:t>
            </w:r>
          </w:p>
          <w:p w14:paraId="7E7AFA26" w14:textId="63E3F867" w:rsidR="00E7674D" w:rsidRPr="0059363E" w:rsidRDefault="0059363E" w:rsidP="00EE10D2">
            <w:pPr>
              <w:cnfStyle w:val="000000000000" w:firstRow="0" w:lastRow="0" w:firstColumn="0" w:lastColumn="0" w:oddVBand="0" w:evenVBand="0" w:oddHBand="0" w:evenHBand="0" w:firstRowFirstColumn="0" w:firstRowLastColumn="0" w:lastRowFirstColumn="0" w:lastRowLastColumn="0"/>
              <w:rPr>
                <w:bCs/>
                <w:noProof/>
                <w:snapToGrid w:val="0"/>
                <w:lang w:val="en-US"/>
              </w:rPr>
            </w:pPr>
            <w:r w:rsidRPr="0059363E">
              <w:rPr>
                <w:rFonts w:eastAsiaTheme="minorEastAsia"/>
              </w:rPr>
              <w:t>Awarded contract for two flood recovery works packages to reinstate eight ferry terminals impacted by the SEQ</w:t>
            </w:r>
            <w:r w:rsidR="00D628B1">
              <w:rPr>
                <w:rFonts w:eastAsiaTheme="minorEastAsia"/>
              </w:rPr>
              <w:t xml:space="preserve">RFE </w:t>
            </w:r>
            <w:r w:rsidRPr="0059363E">
              <w:rPr>
                <w:rFonts w:eastAsiaTheme="minorEastAsia"/>
              </w:rPr>
              <w:t>2022.</w:t>
            </w:r>
          </w:p>
          <w:p w14:paraId="7BA0D968" w14:textId="74ABD0ED" w:rsidR="0059363E" w:rsidRPr="00DB6510" w:rsidRDefault="0059363E" w:rsidP="00EE10D2">
            <w:pPr>
              <w:cnfStyle w:val="000000000000" w:firstRow="0" w:lastRow="0" w:firstColumn="0" w:lastColumn="0" w:oddVBand="0" w:evenVBand="0" w:oddHBand="0" w:evenHBand="0" w:firstRowFirstColumn="0" w:firstRowLastColumn="0" w:lastRowFirstColumn="0" w:lastRowLastColumn="0"/>
              <w:rPr>
                <w:bCs/>
                <w:noProof/>
                <w:snapToGrid w:val="0"/>
                <w:lang w:val="en-US"/>
              </w:rPr>
            </w:pPr>
          </w:p>
        </w:tc>
      </w:tr>
      <w:tr w:rsidR="00AA1E41" w:rsidRPr="00ED3210" w14:paraId="682CF97D" w14:textId="77777777" w:rsidTr="002C2E9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single" w:sz="4" w:space="0" w:color="4472C4" w:themeColor="accent1"/>
            </w:tcBorders>
          </w:tcPr>
          <w:p w14:paraId="7D14C0D6" w14:textId="77777777" w:rsidR="00AA1E41" w:rsidRPr="00F22D4C" w:rsidRDefault="00AA1E41" w:rsidP="00EE10D2">
            <w:r w:rsidRPr="2D549898">
              <w:t>Brisbane Metro</w:t>
            </w:r>
          </w:p>
          <w:p w14:paraId="7BDD44E8" w14:textId="77777777" w:rsidR="00AA1E41" w:rsidRPr="00AB778F" w:rsidRDefault="00AA1E41" w:rsidP="00EE10D2">
            <w:pPr>
              <w:rPr>
                <w:b w:val="0"/>
                <w:noProof/>
                <w:snapToGrid w:val="0"/>
                <w:lang w:val="en-US"/>
              </w:rPr>
            </w:pPr>
          </w:p>
        </w:tc>
        <w:tc>
          <w:tcPr>
            <w:tcW w:w="7229" w:type="dxa"/>
            <w:tcBorders>
              <w:top w:val="none" w:sz="0" w:space="0" w:color="auto"/>
              <w:left w:val="single" w:sz="4" w:space="0" w:color="4472C4" w:themeColor="accent1"/>
              <w:bottom w:val="none" w:sz="0" w:space="0" w:color="auto"/>
            </w:tcBorders>
          </w:tcPr>
          <w:p w14:paraId="729F9BAF" w14:textId="0BD6C31A" w:rsidR="0059363E" w:rsidRPr="0059363E" w:rsidRDefault="0059363E"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59363E">
              <w:rPr>
                <w:rFonts w:eastAsiaTheme="minorEastAsia"/>
              </w:rPr>
              <w:t>Cultural Centre station upgrade and precinct enhancement works have commenced, with the temporary Cultural Centre station Platform 2 being relocated.</w:t>
            </w:r>
          </w:p>
          <w:p w14:paraId="70246B07" w14:textId="3B5259F2" w:rsidR="0059363E" w:rsidRPr="0059363E" w:rsidRDefault="0059363E"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59363E">
              <w:rPr>
                <w:rFonts w:eastAsiaTheme="minorEastAsia"/>
              </w:rPr>
              <w:t>Commenced construction works for the end of route charging at the University of Queensland Lakes station.</w:t>
            </w:r>
          </w:p>
          <w:p w14:paraId="402ADF75" w14:textId="0A05C64F" w:rsidR="0059363E" w:rsidRPr="0059363E" w:rsidRDefault="0059363E"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59363E">
              <w:rPr>
                <w:rFonts w:eastAsiaTheme="minorEastAsia"/>
              </w:rPr>
              <w:t>Successfully completed required testing activities on the pilot metro vehicle to achieve the initial fleet order notice and an order for the remaining 59 vehicles was placed.</w:t>
            </w:r>
          </w:p>
          <w:p w14:paraId="47CB6558" w14:textId="07F13FD7" w:rsidR="0059363E" w:rsidRPr="0059363E" w:rsidRDefault="0059363E"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59363E">
              <w:rPr>
                <w:rFonts w:eastAsiaTheme="minorEastAsia"/>
              </w:rPr>
              <w:t>Displayed the pilot metro vehicle at this year's Royal Queensland Show (Ekka), attracting more than 15,500 visitors.</w:t>
            </w:r>
          </w:p>
          <w:p w14:paraId="60FBB2A4" w14:textId="6522C43E" w:rsidR="0059363E" w:rsidRPr="0059363E" w:rsidRDefault="0059363E"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59363E">
              <w:rPr>
                <w:rFonts w:eastAsiaTheme="minorEastAsia"/>
              </w:rPr>
              <w:t xml:space="preserve">Prepared for community consultation in October 2022, with significant progress made in developing network engagement communication tools and </w:t>
            </w:r>
            <w:r w:rsidR="007F1D95">
              <w:rPr>
                <w:rFonts w:eastAsiaTheme="minorEastAsia"/>
              </w:rPr>
              <w:t>material</w:t>
            </w:r>
            <w:r w:rsidR="00A90DAC">
              <w:rPr>
                <w:rFonts w:eastAsiaTheme="minorEastAsia"/>
              </w:rPr>
              <w:t>s</w:t>
            </w:r>
            <w:r w:rsidRPr="0059363E">
              <w:rPr>
                <w:rFonts w:eastAsiaTheme="minorEastAsia"/>
              </w:rPr>
              <w:t>.</w:t>
            </w:r>
          </w:p>
          <w:p w14:paraId="7F114C15" w14:textId="77777777" w:rsidR="00E7674D" w:rsidRPr="0059363E" w:rsidRDefault="0059363E" w:rsidP="00EE10D2">
            <w:pPr>
              <w:cnfStyle w:val="000000100000" w:firstRow="0" w:lastRow="0" w:firstColumn="0" w:lastColumn="0" w:oddVBand="0" w:evenVBand="0" w:oddHBand="1" w:evenHBand="0" w:firstRowFirstColumn="0" w:firstRowLastColumn="0" w:lastRowFirstColumn="0" w:lastRowLastColumn="0"/>
              <w:rPr>
                <w:bCs/>
                <w:noProof/>
                <w:snapToGrid w:val="0"/>
                <w:lang w:val="en-US"/>
              </w:rPr>
            </w:pPr>
            <w:r w:rsidRPr="0059363E">
              <w:rPr>
                <w:rFonts w:eastAsiaTheme="minorEastAsia"/>
              </w:rPr>
              <w:t>Achieved significant progress in the construction of the new depot in Rochedale, with the completion of the administration building pad.</w:t>
            </w:r>
          </w:p>
          <w:p w14:paraId="72A968F8" w14:textId="2CD83FB8" w:rsidR="0059363E" w:rsidRPr="00DB6510" w:rsidRDefault="0059363E" w:rsidP="00EE10D2">
            <w:pPr>
              <w:cnfStyle w:val="000000100000" w:firstRow="0" w:lastRow="0" w:firstColumn="0" w:lastColumn="0" w:oddVBand="0" w:evenVBand="0" w:oddHBand="1" w:evenHBand="0" w:firstRowFirstColumn="0" w:firstRowLastColumn="0" w:lastRowFirstColumn="0" w:lastRowLastColumn="0"/>
              <w:rPr>
                <w:bCs/>
                <w:noProof/>
                <w:snapToGrid w:val="0"/>
                <w:lang w:val="en-US"/>
              </w:rPr>
            </w:pPr>
          </w:p>
        </w:tc>
      </w:tr>
    </w:tbl>
    <w:p w14:paraId="794FB894" w14:textId="77777777" w:rsidR="00BB4095" w:rsidRDefault="00BB4095">
      <w:pPr>
        <w:rPr>
          <w:b/>
          <w:bCs/>
        </w:rPr>
        <w:sectPr w:rsidR="00BB4095" w:rsidSect="0013507F">
          <w:footerReference w:type="default" r:id="rId26"/>
          <w:pgSz w:w="11900" w:h="16840"/>
          <w:pgMar w:top="1440" w:right="1134" w:bottom="1440" w:left="1134" w:header="709" w:footer="709" w:gutter="0"/>
          <w:cols w:space="708"/>
          <w:docGrid w:linePitch="360"/>
        </w:sectPr>
      </w:pPr>
    </w:p>
    <w:p w14:paraId="45B3FB82" w14:textId="5D031BDE" w:rsidR="005B0CD4" w:rsidRPr="00A85CB3" w:rsidRDefault="005B0CD4" w:rsidP="0057257F">
      <w:pPr>
        <w:pStyle w:val="Heading3"/>
      </w:pPr>
      <w:bookmarkStart w:id="22" w:name="_Toc127436755"/>
      <w:bookmarkStart w:id="23" w:name="_Toc111123773"/>
      <w:bookmarkStart w:id="24" w:name="_Toc111123993"/>
      <w:bookmarkStart w:id="25" w:name="_Toc111126252"/>
      <w:r w:rsidRPr="00A85CB3">
        <w:lastRenderedPageBreak/>
        <w:t>Program 2 – Infrastructure for Brisbane</w:t>
      </w:r>
      <w:bookmarkEnd w:id="22"/>
    </w:p>
    <w:p w14:paraId="6EEE2E6D" w14:textId="77777777" w:rsidR="008162D5" w:rsidRDefault="008162D5" w:rsidP="008162D5">
      <w:pPr>
        <w:tabs>
          <w:tab w:val="left" w:pos="3945"/>
        </w:tabs>
        <w:ind w:hanging="284"/>
        <w:rPr>
          <w:noProof/>
        </w:rPr>
      </w:pPr>
      <w:r>
        <w:rPr>
          <w:rFonts w:cs="Arial"/>
          <w:b/>
          <w:bCs/>
          <w:sz w:val="20"/>
          <w:szCs w:val="20"/>
        </w:rPr>
        <w:tab/>
      </w:r>
    </w:p>
    <w:p w14:paraId="3DDDFDDD" w14:textId="3C038ABC" w:rsidR="00E7674D" w:rsidRDefault="008162D5" w:rsidP="003B6BB9">
      <w:pPr>
        <w:tabs>
          <w:tab w:val="left" w:pos="3945"/>
        </w:tabs>
        <w:jc w:val="center"/>
        <w:rPr>
          <w:rFonts w:cs="Arial"/>
          <w:b/>
          <w:bCs/>
          <w:sz w:val="20"/>
          <w:szCs w:val="20"/>
        </w:rPr>
      </w:pPr>
      <w:r>
        <w:rPr>
          <w:noProof/>
        </w:rPr>
        <w:drawing>
          <wp:inline distT="0" distB="0" distL="0" distR="0" wp14:anchorId="73E5E259" wp14:editId="1C331010">
            <wp:extent cx="6116400" cy="1623600"/>
            <wp:effectExtent l="0" t="0" r="0" b="0"/>
            <wp:docPr id="205" name="Picture 205" descr="This graph shows Program 2 - Infrastructure for Brisbane revenue, operating expenses and capital expenditure for the period ended September 2022, against the approved annual budget.&#10;&#10;Revenue&#10;$46.7 million (actual)&#10;$377.8 million (approved annual budget)&#10;&#10;Operating expenses&#10;$86.3 million (actual)&#10;$458.2 million (approved annual budget)&#10;&#10;Capital expenditure&#10;$75.3 million (actual)&#10;$395.7 million (approved annual budg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This graph shows Program 2 - Infrastructure for Brisbane revenue, operating expenses and capital expenditure for the period ended September 2022, against the approved annual budget.&#10;&#10;Revenue&#10;$46.7 million (actual)&#10;$377.8 million (approved annual budget)&#10;&#10;Operating expenses&#10;$86.3 million (actual)&#10;$458.2 million (approved annual budget)&#10;&#10;Capital expenditure&#10;$75.3 million (actual)&#10;$395.7 million (approved annual budget)&#10;"/>
                    <pic:cNvPicPr/>
                  </pic:nvPicPr>
                  <pic:blipFill>
                    <a:blip r:embed="rId27"/>
                    <a:stretch>
                      <a:fillRect/>
                    </a:stretch>
                  </pic:blipFill>
                  <pic:spPr>
                    <a:xfrm>
                      <a:off x="0" y="0"/>
                      <a:ext cx="6116400" cy="1623600"/>
                    </a:xfrm>
                    <a:prstGeom prst="rect">
                      <a:avLst/>
                    </a:prstGeom>
                  </pic:spPr>
                </pic:pic>
              </a:graphicData>
            </a:graphic>
          </wp:inline>
        </w:drawing>
      </w:r>
    </w:p>
    <w:p w14:paraId="761545D2" w14:textId="5ABC07CC" w:rsidR="00DB6510" w:rsidRDefault="00DB6510" w:rsidP="005B0CD4">
      <w:pPr>
        <w:ind w:hanging="284"/>
        <w:rPr>
          <w:rFonts w:cs="Arial"/>
          <w:b/>
          <w:bCs/>
          <w:sz w:val="20"/>
          <w:szCs w:val="20"/>
        </w:rPr>
      </w:pPr>
    </w:p>
    <w:p w14:paraId="201DD682" w14:textId="5742EFE4" w:rsidR="005B0CD4" w:rsidRDefault="005B0CD4" w:rsidP="00EE10D2">
      <w:pPr>
        <w:pStyle w:val="Heading4black"/>
      </w:pPr>
      <w:r w:rsidRPr="0013507F">
        <w:t>Program financial results</w:t>
      </w:r>
    </w:p>
    <w:p w14:paraId="3DF9D785" w14:textId="7BE46988" w:rsidR="0059363E" w:rsidRDefault="0059363E" w:rsidP="0013507F">
      <w:pPr>
        <w:pStyle w:val="NormalCouncilblue"/>
        <w:spacing w:after="0" w:line="240" w:lineRule="auto"/>
        <w:rPr>
          <w:b/>
          <w:bCs/>
          <w:sz w:val="24"/>
          <w:szCs w:val="24"/>
        </w:rPr>
      </w:pPr>
    </w:p>
    <w:p w14:paraId="7D035C1D" w14:textId="77777777" w:rsidR="0059363E" w:rsidRPr="0059363E" w:rsidRDefault="0059363E" w:rsidP="00EE10D2">
      <w:r w:rsidRPr="0059363E">
        <w:t>Revenue is above budget during the period mainly due to:</w:t>
      </w:r>
    </w:p>
    <w:p w14:paraId="04F1B84E" w14:textId="46EA3737" w:rsidR="0059363E" w:rsidRPr="0060062F" w:rsidRDefault="0059363E" w:rsidP="00EE10D2">
      <w:r w:rsidRPr="0060062F">
        <w:t xml:space="preserve">Earlier than anticipated </w:t>
      </w:r>
      <w:r w:rsidR="00826BAA" w:rsidRPr="0060062F">
        <w:t xml:space="preserve">grants and </w:t>
      </w:r>
      <w:r w:rsidRPr="0060062F">
        <w:t>subsidies revenue mainly relating to the Urban Congestion Fund. This is expected to materially align with the annual budget at the end of the financial year.</w:t>
      </w:r>
    </w:p>
    <w:p w14:paraId="48382DE0" w14:textId="6E782A91" w:rsidR="0059363E" w:rsidRPr="0060062F" w:rsidRDefault="0060062F" w:rsidP="00EE10D2">
      <w:r>
        <w:t>Partly o</w:t>
      </w:r>
      <w:r w:rsidR="0059363E" w:rsidRPr="0060062F">
        <w:t xml:space="preserve">ffset by lower than anticipated </w:t>
      </w:r>
      <w:r w:rsidR="00826BAA" w:rsidRPr="0060062F">
        <w:t xml:space="preserve">grants and subsidies </w:t>
      </w:r>
      <w:r w:rsidR="0059363E" w:rsidRPr="0060062F">
        <w:t>revenue mainly relating to the Urban Congestion Fund. This is expected to be adjusted in the next budget review and be deferred to future years.</w:t>
      </w:r>
    </w:p>
    <w:p w14:paraId="2C6F29E4" w14:textId="77777777" w:rsidR="0060062F" w:rsidRDefault="0060062F" w:rsidP="00EE10D2"/>
    <w:p w14:paraId="1F2B2386" w14:textId="59DDC8DA" w:rsidR="0059363E" w:rsidRPr="0060062F" w:rsidRDefault="0059363E" w:rsidP="00EE10D2">
      <w:r w:rsidRPr="0060062F">
        <w:t>Operating expenses are below budget during the period mainly due to:</w:t>
      </w:r>
    </w:p>
    <w:p w14:paraId="54FEA0F2" w14:textId="0C921420" w:rsidR="0059363E" w:rsidRPr="0060062F" w:rsidRDefault="0059363E" w:rsidP="00EE10D2">
      <w:r w:rsidRPr="0060062F">
        <w:t>Rephased expenditure in the Maintain and Improve the Network strategy, mainly relating to asset depreciation and loss on disposal. This is expected to materially align with the annual budget at the end of the financial year.</w:t>
      </w:r>
    </w:p>
    <w:p w14:paraId="477158E1" w14:textId="2D0C0A7F" w:rsidR="0059363E" w:rsidRPr="0060062F" w:rsidRDefault="0059363E" w:rsidP="00EE10D2">
      <w:r w:rsidRPr="0060062F">
        <w:t xml:space="preserve">A reallocation from operating expenses to capital expenditure in the Build the Transport Network strategy, mainly relating to the </w:t>
      </w:r>
      <w:proofErr w:type="spellStart"/>
      <w:r w:rsidRPr="0060062F">
        <w:t>Moggill</w:t>
      </w:r>
      <w:proofErr w:type="spellEnd"/>
      <w:r w:rsidRPr="0060062F">
        <w:t xml:space="preserve"> Road Corridor Upgrade project (refer to offset in capital expenditure). This is expected to be adjusted in the next budget review.</w:t>
      </w:r>
    </w:p>
    <w:p w14:paraId="626B77F8" w14:textId="77777777" w:rsidR="0059363E" w:rsidRPr="0059363E" w:rsidRDefault="0059363E" w:rsidP="00EE10D2">
      <w:pPr>
        <w:rPr>
          <w:b/>
          <w:bCs/>
          <w:sz w:val="24"/>
        </w:rPr>
      </w:pPr>
    </w:p>
    <w:p w14:paraId="4FE642D4" w14:textId="3AE7636B" w:rsidR="0059363E" w:rsidRPr="0060062F" w:rsidRDefault="0059363E" w:rsidP="00EE10D2">
      <w:r w:rsidRPr="0060062F">
        <w:t>Capital expenditure is above budget during the period mainly due to:</w:t>
      </w:r>
    </w:p>
    <w:p w14:paraId="4F9EA1C5" w14:textId="32D706FE" w:rsidR="0059363E" w:rsidRPr="0060062F" w:rsidRDefault="0059363E" w:rsidP="00EE10D2">
      <w:r w:rsidRPr="0060062F">
        <w:t>Accelerated expenditure in the Maintain and Improve the Network strategy, mainly relating to the Roads Network Resurfacing project. This is expected to materially align with the annual budget at the end of the financial year.</w:t>
      </w:r>
    </w:p>
    <w:p w14:paraId="13B0EBD8" w14:textId="3073D7DD" w:rsidR="0059363E" w:rsidRPr="0060062F" w:rsidRDefault="0059363E" w:rsidP="00EE10D2">
      <w:r w:rsidRPr="0060062F">
        <w:t xml:space="preserve">Accelerated expenditure in the Build the Transport Network strategy, mainly relating to projects including </w:t>
      </w:r>
      <w:proofErr w:type="spellStart"/>
      <w:r w:rsidRPr="0060062F">
        <w:t>Rochedale</w:t>
      </w:r>
      <w:proofErr w:type="spellEnd"/>
      <w:r w:rsidRPr="0060062F">
        <w:t xml:space="preserve"> Road and </w:t>
      </w:r>
      <w:proofErr w:type="spellStart"/>
      <w:r w:rsidRPr="0060062F">
        <w:t>Priestdale</w:t>
      </w:r>
      <w:proofErr w:type="spellEnd"/>
      <w:r w:rsidRPr="0060062F">
        <w:t xml:space="preserve"> Road, Major Traffic Improvements – Intersections, Traffic Signals Hardware Equipment, </w:t>
      </w:r>
      <w:proofErr w:type="spellStart"/>
      <w:r w:rsidRPr="0060062F">
        <w:t>Moggill</w:t>
      </w:r>
      <w:proofErr w:type="spellEnd"/>
      <w:r w:rsidRPr="0060062F">
        <w:t xml:space="preserve"> Road Corridor Upgrade, Beams Road and Gresham Street Bridge. These are expected to materially align with the annual budget by the end of the financial year.</w:t>
      </w:r>
    </w:p>
    <w:p w14:paraId="04B17F92" w14:textId="43CE2C21" w:rsidR="0059363E" w:rsidRPr="0060062F" w:rsidRDefault="0059363E" w:rsidP="00EE10D2">
      <w:r w:rsidRPr="0060062F">
        <w:t xml:space="preserve">A reallocation from operating expenses to capital expenditure in the Build the Transport Network strategy, mainly relating to the </w:t>
      </w:r>
      <w:proofErr w:type="spellStart"/>
      <w:r w:rsidRPr="0060062F">
        <w:t>Moggill</w:t>
      </w:r>
      <w:proofErr w:type="spellEnd"/>
      <w:r w:rsidRPr="0060062F">
        <w:t xml:space="preserve"> Road Corridor Upgrade project (refer to offset in operating expenses). This is expected to be adjusted in the next budget review.</w:t>
      </w:r>
    </w:p>
    <w:p w14:paraId="36CDD105" w14:textId="77777777" w:rsidR="00922077" w:rsidRDefault="00922077" w:rsidP="00EE10D2">
      <w:pPr>
        <w:rPr>
          <w:rFonts w:cs="Arial"/>
        </w:rPr>
      </w:pPr>
    </w:p>
    <w:p w14:paraId="545AB295" w14:textId="5C8F1CC6" w:rsidR="00AA1E41" w:rsidRDefault="00922077" w:rsidP="00922077">
      <w:pPr>
        <w:jc w:val="center"/>
        <w:rPr>
          <w:b/>
          <w:bCs/>
          <w:sz w:val="28"/>
          <w:szCs w:val="28"/>
        </w:rPr>
      </w:pPr>
      <w:r>
        <w:rPr>
          <w:noProof/>
        </w:rPr>
        <w:lastRenderedPageBreak/>
        <w:drawing>
          <wp:inline distT="0" distB="0" distL="0" distR="0" wp14:anchorId="077E7945" wp14:editId="7E00E222">
            <wp:extent cx="5991225" cy="1781175"/>
            <wp:effectExtent l="0" t="0" r="9525" b="9525"/>
            <wp:docPr id="5" name="Picture 5" descr="This graph shows Program 2 - Infrastructure for Brisbane total expenses (operating and capital) by strategy for the period ended September 2022.&#10;&#10;Maintain and Improve the Network $100.6 million&#10;Build the Transport Network $47.9 million&#10;Manage the Transport Network $5.7 million&#10;Plan and Design the Network $3.8 million&#10;Enhancing Parking Management $3.6 million&#10;Total expenses by strategy (operating and capital) $161.6 mill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graph shows Program 2 - Infrastructure for Brisbane total expenses (operating and capital) by strategy for the period ended September 2022.&#10;&#10;Maintain and Improve the Network $100.6 million&#10;Build the Transport Network $47.9 million&#10;Manage the Transport Network $5.7 million&#10;Plan and Design the Network $3.8 million&#10;Enhancing Parking Management $3.6 million&#10;Total expenses by strategy (operating and capital) $161.6 million&#10;"/>
                    <pic:cNvPicPr/>
                  </pic:nvPicPr>
                  <pic:blipFill>
                    <a:blip r:embed="rId28"/>
                    <a:stretch>
                      <a:fillRect/>
                    </a:stretch>
                  </pic:blipFill>
                  <pic:spPr>
                    <a:xfrm>
                      <a:off x="0" y="0"/>
                      <a:ext cx="5991225" cy="1781175"/>
                    </a:xfrm>
                    <a:prstGeom prst="rect">
                      <a:avLst/>
                    </a:prstGeom>
                  </pic:spPr>
                </pic:pic>
              </a:graphicData>
            </a:graphic>
          </wp:inline>
        </w:drawing>
      </w:r>
      <w:r>
        <w:rPr>
          <w:b/>
          <w:bCs/>
          <w:sz w:val="28"/>
          <w:szCs w:val="28"/>
        </w:rPr>
        <w:t xml:space="preserve"> </w:t>
      </w:r>
    </w:p>
    <w:p w14:paraId="794FAE2B" w14:textId="77777777" w:rsidR="0060062F" w:rsidRPr="0060062F" w:rsidRDefault="0060062F" w:rsidP="00922077">
      <w:pPr>
        <w:jc w:val="center"/>
        <w:rPr>
          <w:rFonts w:cs="Arial"/>
          <w:b/>
          <w:bCs/>
          <w:color w:val="0067B1"/>
          <w:szCs w:val="22"/>
          <w:lang w:val="en-AU"/>
        </w:rPr>
      </w:pPr>
    </w:p>
    <w:p w14:paraId="0C53F718" w14:textId="5B7E4A1B" w:rsidR="00031618" w:rsidRDefault="00031618" w:rsidP="00723B7B">
      <w:pPr>
        <w:pStyle w:val="Heading4black"/>
      </w:pPr>
      <w:r w:rsidRPr="00F87C7E">
        <w:t>Highlights and updates on key program strategies from the Annual Operational Plan</w:t>
      </w:r>
    </w:p>
    <w:p w14:paraId="16EDC2C8" w14:textId="77777777" w:rsidR="00F87C7E" w:rsidRPr="00E7674D" w:rsidRDefault="00F87C7E" w:rsidP="00F87C7E">
      <w:pPr>
        <w:pStyle w:val="NormalCouncilblue"/>
        <w:spacing w:after="0"/>
        <w:rPr>
          <w:b/>
          <w:bCs/>
        </w:rPr>
      </w:pPr>
    </w:p>
    <w:tbl>
      <w:tblPr>
        <w:tblStyle w:val="ListTable3-Accent1"/>
        <w:tblW w:w="9634" w:type="dxa"/>
        <w:tblBorders>
          <w:top w:val="single" w:sz="4" w:space="0" w:color="0067B1"/>
          <w:left w:val="single" w:sz="4" w:space="0" w:color="0067B1"/>
          <w:bottom w:val="single" w:sz="4" w:space="0" w:color="0067B1"/>
          <w:right w:val="single" w:sz="4" w:space="0" w:color="0067B1"/>
          <w:insideH w:val="single" w:sz="4" w:space="0" w:color="0067B1"/>
          <w:insideV w:val="single" w:sz="4" w:space="0" w:color="0067B1"/>
        </w:tblBorders>
        <w:tblLook w:val="04A0" w:firstRow="1" w:lastRow="0" w:firstColumn="1" w:lastColumn="0" w:noHBand="0" w:noVBand="1"/>
        <w:tblCaption w:val="Highlights and Updates on key program strategies from the annual operational plan"/>
        <w:tblDescription w:val="Strategy&#10;Highlights and updates&#10;Build the Transport Network&#10;Implemented a major traffic switch for the Moggle Road Corridor&#10;Upgrade, from the roundabout to a temporary signalised&#10;intersection while works continue.&#10;• Completed the finalisation works of the Gresham Street Bridge,&#10;including opening the eastern footpath drainage and landscaping,&#10;after delays due to an adjacent sewer upgrade project and the&#10;S,E,Q,R,F,E 2022.&#10;• Completed the construction of improvements at the intersection of&#10;Allison Street at Abbotsford Road in Bowen Hills, enhancing access&#10;for pedestrians and improving safety for all road users.&#10;• Completed the construction of corridor improvements along Tingal&#10;Road, Wynnum; and Weller Road, Tarragindi; enhancing access&#10;and safety for all road users.&#10;• Completed the construction of improvements across the Kamarin&#10;Street Precinct, Manly West, enhancing access, safety and amenity&#10;across the precinct.&#10;• Completed works at the intersection of Melton Road and Hows&#10;Road, Nundah as part of the Major Traffic Improvements –&#10;Intersections Suburban Works Program. As part of this program,&#10;works have also commenced at two intersections: Enoggera Road,&#10;Moran Street and Lloyd Street, Alderley; and Kelvin Grove Road&#10;and Blamey Street, Kelvin Grove.&#10;Maintain and Improve the network&#10;Completed 92 Pavement Design Reports for the annual road resurfacing program.&#10;Manage the Transport network&#10;Displayed Footy SAM on Speed Awareness Monitors (SAM) to celebrate the National Rugby League (NRL) and Australian Football League (AFL) Grand Finals in September 2022.&#10;Enhancing parking management &#10;Commenced Pay by App Only trial at Spring Hill. Trial outcomes will be considered for future on-street parking planning.&#10;"/>
      </w:tblPr>
      <w:tblGrid>
        <w:gridCol w:w="2405"/>
        <w:gridCol w:w="7229"/>
      </w:tblGrid>
      <w:tr w:rsidR="00031618" w:rsidRPr="00ED3210" w14:paraId="4F95AD25" w14:textId="77777777" w:rsidTr="00723B7B">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shd w:val="clear" w:color="auto" w:fill="0067B1"/>
          </w:tcPr>
          <w:p w14:paraId="4F6D5C63" w14:textId="77777777" w:rsidR="00031618" w:rsidRPr="00A71510" w:rsidRDefault="00031618" w:rsidP="00EE10D2">
            <w:pPr>
              <w:rPr>
                <w:color w:val="0070C0"/>
              </w:rPr>
            </w:pPr>
            <w:r w:rsidRPr="00A71510">
              <w:t>Strategy</w:t>
            </w:r>
          </w:p>
        </w:tc>
        <w:tc>
          <w:tcPr>
            <w:tcW w:w="7229" w:type="dxa"/>
            <w:shd w:val="clear" w:color="auto" w:fill="0067B1"/>
          </w:tcPr>
          <w:p w14:paraId="317E2672" w14:textId="77777777" w:rsidR="00031618" w:rsidRPr="00ED3210" w:rsidRDefault="00031618" w:rsidP="00EE10D2">
            <w:pPr>
              <w:cnfStyle w:val="100000000000" w:firstRow="1" w:lastRow="0" w:firstColumn="0" w:lastColumn="0" w:oddVBand="0" w:evenVBand="0" w:oddHBand="0" w:evenHBand="0" w:firstRowFirstColumn="0" w:firstRowLastColumn="0" w:lastRowFirstColumn="0" w:lastRowLastColumn="0"/>
              <w:rPr>
                <w:color w:val="auto"/>
              </w:rPr>
            </w:pPr>
            <w:r>
              <w:t>Highlights and updates</w:t>
            </w:r>
          </w:p>
        </w:tc>
      </w:tr>
      <w:tr w:rsidR="00AA1E41" w:rsidRPr="00ED3210" w14:paraId="7067C75B" w14:textId="77777777" w:rsidTr="00723B7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36FC522B" w14:textId="53E07405" w:rsidR="00AA1E41" w:rsidRPr="00D23CD1" w:rsidRDefault="00AA1E41" w:rsidP="00EE10D2">
            <w:pPr>
              <w:rPr>
                <w:b w:val="0"/>
                <w:noProof/>
                <w:snapToGrid w:val="0"/>
                <w:sz w:val="20"/>
                <w:lang w:val="en-US"/>
              </w:rPr>
            </w:pPr>
            <w:r w:rsidRPr="5F36FF9B">
              <w:rPr>
                <w:rFonts w:eastAsia="Arial"/>
              </w:rPr>
              <w:t>Build the Transport Network</w:t>
            </w:r>
          </w:p>
        </w:tc>
        <w:tc>
          <w:tcPr>
            <w:tcW w:w="7229" w:type="dxa"/>
            <w:tcBorders>
              <w:top w:val="none" w:sz="0" w:space="0" w:color="auto"/>
              <w:bottom w:val="none" w:sz="0" w:space="0" w:color="auto"/>
            </w:tcBorders>
          </w:tcPr>
          <w:p w14:paraId="705189F5" w14:textId="77777777" w:rsidR="0060062F" w:rsidRPr="0060062F" w:rsidRDefault="0060062F"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60062F">
              <w:rPr>
                <w:rFonts w:eastAsiaTheme="minorEastAsia"/>
              </w:rPr>
              <w:t>Implemented a major traffic switch for the Moggill Road Corridor Upgrade, from the roundabout to a temporary signalised intersection while works continue.</w:t>
            </w:r>
          </w:p>
          <w:p w14:paraId="0326808E" w14:textId="7E0508C9" w:rsidR="0060062F" w:rsidRPr="0060062F" w:rsidRDefault="0060062F"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60062F">
              <w:rPr>
                <w:rFonts w:eastAsiaTheme="minorEastAsia"/>
              </w:rPr>
              <w:t>Completed the finalisation works of the Gresham Street Bridge, including opening the eastern footpath drainage and landscaping, after delays due to an adjacent sewer upgrade project and the SEQ</w:t>
            </w:r>
            <w:r w:rsidR="00D628B1">
              <w:rPr>
                <w:rFonts w:eastAsiaTheme="minorEastAsia"/>
              </w:rPr>
              <w:t xml:space="preserve">RFE </w:t>
            </w:r>
            <w:r w:rsidRPr="0060062F">
              <w:rPr>
                <w:rFonts w:eastAsiaTheme="minorEastAsia"/>
              </w:rPr>
              <w:t xml:space="preserve">2022. </w:t>
            </w:r>
          </w:p>
          <w:p w14:paraId="771E877F" w14:textId="77777777" w:rsidR="0060062F" w:rsidRPr="0060062F" w:rsidRDefault="0060062F"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60062F">
              <w:rPr>
                <w:rFonts w:eastAsiaTheme="minorEastAsia"/>
              </w:rPr>
              <w:t>Completed the construction of improvements at the intersection of Allison Street at Abbotsford Road in Bowen Hills, enhancing access for pedestrians and improving safety for all road users.</w:t>
            </w:r>
          </w:p>
          <w:p w14:paraId="69411104" w14:textId="77777777" w:rsidR="0060062F" w:rsidRPr="0060062F" w:rsidRDefault="0060062F"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60062F">
              <w:rPr>
                <w:rFonts w:eastAsiaTheme="minorEastAsia"/>
              </w:rPr>
              <w:t xml:space="preserve">Completed the construction of corridor improvements along </w:t>
            </w:r>
            <w:proofErr w:type="spellStart"/>
            <w:r w:rsidRPr="0060062F">
              <w:rPr>
                <w:rFonts w:eastAsiaTheme="minorEastAsia"/>
              </w:rPr>
              <w:t>Tingal</w:t>
            </w:r>
            <w:proofErr w:type="spellEnd"/>
            <w:r w:rsidRPr="0060062F">
              <w:rPr>
                <w:rFonts w:eastAsiaTheme="minorEastAsia"/>
              </w:rPr>
              <w:t xml:space="preserve"> Road, Wynnum; and Weller Road, Tarragindi; enhancing access and safety for all road users.</w:t>
            </w:r>
          </w:p>
          <w:p w14:paraId="0036BD5E" w14:textId="77777777" w:rsidR="0060062F" w:rsidRPr="0060062F" w:rsidRDefault="0060062F"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60062F">
              <w:rPr>
                <w:rFonts w:eastAsiaTheme="minorEastAsia"/>
              </w:rPr>
              <w:t xml:space="preserve">Completed the construction of improvements across the </w:t>
            </w:r>
            <w:proofErr w:type="spellStart"/>
            <w:r w:rsidRPr="0060062F">
              <w:rPr>
                <w:rFonts w:eastAsiaTheme="minorEastAsia"/>
              </w:rPr>
              <w:t>Kamarin</w:t>
            </w:r>
            <w:proofErr w:type="spellEnd"/>
            <w:r w:rsidRPr="0060062F">
              <w:rPr>
                <w:rFonts w:eastAsiaTheme="minorEastAsia"/>
              </w:rPr>
              <w:t xml:space="preserve"> Street Precinct, Manly West, enhancing access, safety and amenity across the precinct.</w:t>
            </w:r>
          </w:p>
          <w:p w14:paraId="28E4C736" w14:textId="77777777" w:rsidR="00DB6510" w:rsidRPr="0060062F" w:rsidRDefault="0060062F" w:rsidP="00EE10D2">
            <w:pPr>
              <w:cnfStyle w:val="000000100000" w:firstRow="0" w:lastRow="0" w:firstColumn="0" w:lastColumn="0" w:oddVBand="0" w:evenVBand="0" w:oddHBand="1" w:evenHBand="0" w:firstRowFirstColumn="0" w:firstRowLastColumn="0" w:lastRowFirstColumn="0" w:lastRowLastColumn="0"/>
              <w:rPr>
                <w:lang w:val="en-US"/>
              </w:rPr>
            </w:pPr>
            <w:r w:rsidRPr="0060062F">
              <w:rPr>
                <w:rFonts w:eastAsiaTheme="minorEastAsia"/>
              </w:rPr>
              <w:t xml:space="preserve">Completed works at the intersection of Melton Road and </w:t>
            </w:r>
            <w:proofErr w:type="spellStart"/>
            <w:r w:rsidRPr="0060062F">
              <w:rPr>
                <w:rFonts w:eastAsiaTheme="minorEastAsia"/>
              </w:rPr>
              <w:t>Hows</w:t>
            </w:r>
            <w:proofErr w:type="spellEnd"/>
            <w:r w:rsidRPr="0060062F">
              <w:rPr>
                <w:rFonts w:eastAsiaTheme="minorEastAsia"/>
              </w:rPr>
              <w:t xml:space="preserve"> Road, Nundah as part of the Major Traffic Improvements – Intersections Suburban Works Program. As part of this program, works have also commenced at two intersections: Enoggera Road, Moran Street and Lloyd Street, Alderley; and Kelvin Grove Road and Blamey Street, Kelvin Grove.</w:t>
            </w:r>
          </w:p>
          <w:p w14:paraId="08E91218" w14:textId="00466D89" w:rsidR="0060062F" w:rsidRPr="00DB6510" w:rsidRDefault="0060062F" w:rsidP="00EE10D2">
            <w:pPr>
              <w:cnfStyle w:val="000000100000" w:firstRow="0" w:lastRow="0" w:firstColumn="0" w:lastColumn="0" w:oddVBand="0" w:evenVBand="0" w:oddHBand="1" w:evenHBand="0" w:firstRowFirstColumn="0" w:firstRowLastColumn="0" w:lastRowFirstColumn="0" w:lastRowLastColumn="0"/>
              <w:rPr>
                <w:lang w:val="en-US"/>
              </w:rPr>
            </w:pPr>
          </w:p>
        </w:tc>
      </w:tr>
      <w:tr w:rsidR="00AA1E41" w:rsidRPr="00ED3210" w14:paraId="4BCA23B7" w14:textId="77777777" w:rsidTr="00723B7B">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094D99A6" w14:textId="2AEE9701" w:rsidR="00AA1E41" w:rsidRPr="5F36FF9B" w:rsidRDefault="00AA1E41" w:rsidP="00EE10D2">
            <w:pPr>
              <w:rPr>
                <w:rFonts w:eastAsia="Arial"/>
              </w:rPr>
            </w:pPr>
            <w:r w:rsidRPr="5F36FF9B">
              <w:rPr>
                <w:rFonts w:eastAsia="Arial"/>
              </w:rPr>
              <w:t>Maintain and Improve the Network</w:t>
            </w:r>
          </w:p>
        </w:tc>
        <w:tc>
          <w:tcPr>
            <w:tcW w:w="7229" w:type="dxa"/>
          </w:tcPr>
          <w:p w14:paraId="0456CAC1" w14:textId="77777777" w:rsidR="00FD596D" w:rsidRPr="0060062F" w:rsidRDefault="0060062F" w:rsidP="00EE10D2">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0062F">
              <w:rPr>
                <w:rFonts w:eastAsiaTheme="minorEastAsia"/>
              </w:rPr>
              <w:t>Completed 92 Pavement Design Reports for the annual road resurfacing program.</w:t>
            </w:r>
          </w:p>
          <w:p w14:paraId="010C3140" w14:textId="6BBB1D0F" w:rsidR="0060062F" w:rsidRPr="00DB6510" w:rsidRDefault="0060062F" w:rsidP="00EE10D2">
            <w:pPr>
              <w:cnfStyle w:val="000000000000" w:firstRow="0" w:lastRow="0" w:firstColumn="0" w:lastColumn="0" w:oddVBand="0" w:evenVBand="0" w:oddHBand="0" w:evenHBand="0" w:firstRowFirstColumn="0" w:firstRowLastColumn="0" w:lastRowFirstColumn="0" w:lastRowLastColumn="0"/>
              <w:rPr>
                <w:rFonts w:eastAsiaTheme="minorEastAsia"/>
                <w:lang w:val="en-US"/>
              </w:rPr>
            </w:pPr>
          </w:p>
        </w:tc>
      </w:tr>
      <w:tr w:rsidR="00AA1E41" w:rsidRPr="00ED3210" w14:paraId="3E4BFA80" w14:textId="77777777" w:rsidTr="00723B7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4FDF377F" w14:textId="7B3F58C2" w:rsidR="00AA1E41" w:rsidRPr="5F36FF9B" w:rsidRDefault="00AA1E41" w:rsidP="00EE10D2">
            <w:pPr>
              <w:rPr>
                <w:rFonts w:eastAsia="Arial"/>
              </w:rPr>
            </w:pPr>
            <w:r w:rsidRPr="5F36FF9B">
              <w:rPr>
                <w:rFonts w:eastAsia="Calibri"/>
              </w:rPr>
              <w:t xml:space="preserve">Manage the </w:t>
            </w:r>
            <w:r w:rsidR="00C70651">
              <w:rPr>
                <w:rFonts w:eastAsia="Calibri"/>
              </w:rPr>
              <w:t xml:space="preserve">Transport </w:t>
            </w:r>
            <w:r w:rsidRPr="5F36FF9B">
              <w:rPr>
                <w:rFonts w:eastAsia="Calibri"/>
              </w:rPr>
              <w:t>Network</w:t>
            </w:r>
          </w:p>
        </w:tc>
        <w:tc>
          <w:tcPr>
            <w:tcW w:w="7229" w:type="dxa"/>
            <w:tcBorders>
              <w:top w:val="none" w:sz="0" w:space="0" w:color="auto"/>
              <w:bottom w:val="none" w:sz="0" w:space="0" w:color="auto"/>
            </w:tcBorders>
          </w:tcPr>
          <w:p w14:paraId="43C9AEA5" w14:textId="5A79D1F4" w:rsidR="00E7674D" w:rsidRPr="00DC6457" w:rsidRDefault="0060062F" w:rsidP="00EE10D2">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DC6457">
              <w:rPr>
                <w:rFonts w:eastAsiaTheme="minorEastAsia"/>
              </w:rPr>
              <w:t>Displayed Footy SAM on Speed Awareness Monitors (SAM) to celebrate the National Rugby League (NRL) and Australian Football League (AFL) Grand Finals in</w:t>
            </w:r>
            <w:r w:rsidR="00DC6457">
              <w:rPr>
                <w:rFonts w:eastAsiaTheme="minorEastAsia"/>
              </w:rPr>
              <w:t xml:space="preserve"> </w:t>
            </w:r>
            <w:r w:rsidRPr="00DC6457">
              <w:rPr>
                <w:rFonts w:eastAsiaTheme="minorEastAsia"/>
              </w:rPr>
              <w:t>September 2022.</w:t>
            </w:r>
          </w:p>
          <w:p w14:paraId="4160EC09" w14:textId="375E9D6A" w:rsidR="00F61780" w:rsidRPr="00DB6510" w:rsidRDefault="00F61780" w:rsidP="00EE10D2">
            <w:pPr>
              <w:cnfStyle w:val="000000100000" w:firstRow="0" w:lastRow="0" w:firstColumn="0" w:lastColumn="0" w:oddVBand="0" w:evenVBand="0" w:oddHBand="1" w:evenHBand="0" w:firstRowFirstColumn="0" w:firstRowLastColumn="0" w:lastRowFirstColumn="0" w:lastRowLastColumn="0"/>
              <w:rPr>
                <w:rFonts w:eastAsiaTheme="minorEastAsia"/>
                <w:lang w:val="en-US"/>
              </w:rPr>
            </w:pPr>
          </w:p>
        </w:tc>
      </w:tr>
      <w:tr w:rsidR="00AA1E41" w:rsidRPr="00ED3210" w14:paraId="545F0266" w14:textId="77777777" w:rsidTr="00723B7B">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1D003E66" w14:textId="2C0E4728" w:rsidR="00AA1E41" w:rsidRPr="5F36FF9B" w:rsidRDefault="00AA1E41" w:rsidP="00EE10D2">
            <w:pPr>
              <w:rPr>
                <w:rFonts w:eastAsia="Arial"/>
              </w:rPr>
            </w:pPr>
            <w:r w:rsidRPr="5F36FF9B">
              <w:rPr>
                <w:rFonts w:eastAsia="Arial"/>
              </w:rPr>
              <w:t>Enhancing Parking Management</w:t>
            </w:r>
          </w:p>
        </w:tc>
        <w:tc>
          <w:tcPr>
            <w:tcW w:w="7229" w:type="dxa"/>
          </w:tcPr>
          <w:p w14:paraId="3ACB343A" w14:textId="77777777" w:rsidR="00E7674D" w:rsidRPr="00F61780" w:rsidRDefault="00F61780" w:rsidP="00EE10D2">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F61780">
              <w:rPr>
                <w:rFonts w:eastAsiaTheme="minorEastAsia"/>
              </w:rPr>
              <w:t>Comm</w:t>
            </w:r>
            <w:r w:rsidRPr="6BD5393D">
              <w:rPr>
                <w:rFonts w:eastAsiaTheme="minorEastAsia"/>
              </w:rPr>
              <w:t>enced Pay by App Only trial at Spring Hill. Trial outcomes will be considered for future on-street parking planning.</w:t>
            </w:r>
          </w:p>
          <w:p w14:paraId="2D669B42" w14:textId="3C52426D" w:rsidR="00F61780" w:rsidRPr="00DB6510" w:rsidRDefault="00F61780" w:rsidP="00EE10D2">
            <w:pPr>
              <w:cnfStyle w:val="000000000000" w:firstRow="0" w:lastRow="0" w:firstColumn="0" w:lastColumn="0" w:oddVBand="0" w:evenVBand="0" w:oddHBand="0" w:evenHBand="0" w:firstRowFirstColumn="0" w:firstRowLastColumn="0" w:lastRowFirstColumn="0" w:lastRowLastColumn="0"/>
              <w:rPr>
                <w:rFonts w:eastAsiaTheme="minorEastAsia"/>
                <w:lang w:val="en-US"/>
              </w:rPr>
            </w:pPr>
          </w:p>
        </w:tc>
      </w:tr>
    </w:tbl>
    <w:p w14:paraId="589D7482" w14:textId="1E78A8A1" w:rsidR="00516011" w:rsidRDefault="00516011">
      <w:pPr>
        <w:sectPr w:rsidR="00516011" w:rsidSect="0013507F">
          <w:footerReference w:type="default" r:id="rId29"/>
          <w:pgSz w:w="11900" w:h="16840"/>
          <w:pgMar w:top="1440" w:right="1134" w:bottom="1440" w:left="1134" w:header="709" w:footer="709" w:gutter="0"/>
          <w:cols w:space="708"/>
          <w:docGrid w:linePitch="360"/>
        </w:sectPr>
      </w:pPr>
    </w:p>
    <w:p w14:paraId="48FDABFE" w14:textId="57698DA4" w:rsidR="005B0CD4" w:rsidRPr="0013507F" w:rsidRDefault="005B0CD4" w:rsidP="0057257F">
      <w:pPr>
        <w:pStyle w:val="Heading3"/>
      </w:pPr>
      <w:bookmarkStart w:id="26" w:name="_Toc127436756"/>
      <w:r w:rsidRPr="0013507F">
        <w:lastRenderedPageBreak/>
        <w:t>Program 3 – Clean, Green and Sustainable City</w:t>
      </w:r>
      <w:bookmarkEnd w:id="26"/>
    </w:p>
    <w:p w14:paraId="46BC0F55" w14:textId="0860E5B3" w:rsidR="005B0CD4" w:rsidRDefault="005B0CD4" w:rsidP="005B0CD4">
      <w:pPr>
        <w:ind w:hanging="284"/>
        <w:rPr>
          <w:rFonts w:cs="Arial"/>
          <w:b/>
          <w:bCs/>
          <w:sz w:val="20"/>
          <w:szCs w:val="20"/>
        </w:rPr>
      </w:pPr>
    </w:p>
    <w:p w14:paraId="1DA10DA1" w14:textId="301C0D9D" w:rsidR="00BD7EB2" w:rsidRDefault="00B1720E" w:rsidP="00AD455B">
      <w:pPr>
        <w:jc w:val="center"/>
        <w:rPr>
          <w:b/>
          <w:bCs/>
        </w:rPr>
      </w:pPr>
      <w:r>
        <w:rPr>
          <w:noProof/>
        </w:rPr>
        <w:drawing>
          <wp:inline distT="0" distB="0" distL="0" distR="0" wp14:anchorId="30672BC4" wp14:editId="7391EF05">
            <wp:extent cx="6116320" cy="1666875"/>
            <wp:effectExtent l="0" t="0" r="0" b="9525"/>
            <wp:docPr id="219" name="Picture 219" descr="This graph shows Program 3 – Clean, Green and Sustainable City revenue, operating expenses and capital expenditure for the period ended September 2022, against the approved annual budget.&#10;&#10;Revenue&#10;$49.7 million (actual)&#10;$249.1 million (approved annual budget)&#10;&#10;Operating expenses&#10;$62.1 million (actual)&#10;$355.4 million (approved annual budget)&#10;&#10;Capital expenditure&#10;$21.9 million (actual)&#10;$290.4 million (approved annual budg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This graph shows Program 3 – Clean, Green and Sustainable City revenue, operating expenses and capital expenditure for the period ended September 2022, against the approved annual budget.&#10;&#10;Revenue&#10;$49.7 million (actual)&#10;$249.1 million (approved annual budget)&#10;&#10;Operating expenses&#10;$62.1 million (actual)&#10;$355.4 million (approved annual budget)&#10;&#10;Capital expenditure&#10;$21.9 million (actual)&#10;$290.4 million (approved annual budget)&#10;"/>
                    <pic:cNvPicPr/>
                  </pic:nvPicPr>
                  <pic:blipFill>
                    <a:blip r:embed="rId30"/>
                    <a:stretch>
                      <a:fillRect/>
                    </a:stretch>
                  </pic:blipFill>
                  <pic:spPr>
                    <a:xfrm>
                      <a:off x="0" y="0"/>
                      <a:ext cx="6116320" cy="1666875"/>
                    </a:xfrm>
                    <a:prstGeom prst="rect">
                      <a:avLst/>
                    </a:prstGeom>
                  </pic:spPr>
                </pic:pic>
              </a:graphicData>
            </a:graphic>
          </wp:inline>
        </w:drawing>
      </w:r>
    </w:p>
    <w:p w14:paraId="12AF4FA1" w14:textId="1146699D" w:rsidR="00E7674D" w:rsidRDefault="00E7674D" w:rsidP="0013507F">
      <w:pPr>
        <w:pStyle w:val="NormalCouncilblue"/>
        <w:spacing w:after="0" w:line="240" w:lineRule="auto"/>
        <w:rPr>
          <w:b/>
          <w:bCs/>
        </w:rPr>
      </w:pPr>
    </w:p>
    <w:p w14:paraId="77FF6215" w14:textId="6908D3B9" w:rsidR="005B0CD4" w:rsidRPr="0013507F" w:rsidRDefault="005B0CD4" w:rsidP="00EE10D2">
      <w:pPr>
        <w:pStyle w:val="Heading4black"/>
      </w:pPr>
      <w:r w:rsidRPr="0013507F">
        <w:t>Program financial results</w:t>
      </w:r>
    </w:p>
    <w:p w14:paraId="3064F5CB" w14:textId="15E9DEF7" w:rsidR="0013507F" w:rsidRDefault="0013507F" w:rsidP="0013507F">
      <w:pPr>
        <w:jc w:val="both"/>
        <w:rPr>
          <w:rFonts w:eastAsia="Arial" w:cs="Arial"/>
          <w:szCs w:val="22"/>
        </w:rPr>
      </w:pPr>
    </w:p>
    <w:p w14:paraId="2DF5D3B0" w14:textId="77777777" w:rsidR="00F006DB" w:rsidRPr="00F006DB" w:rsidRDefault="00F006DB" w:rsidP="00EE10D2">
      <w:r w:rsidRPr="00F006DB">
        <w:t>Revenue is above budget during the period mainly due to:</w:t>
      </w:r>
    </w:p>
    <w:p w14:paraId="4AC6C1E8" w14:textId="1933328A" w:rsidR="00F006DB" w:rsidRPr="00F006DB" w:rsidRDefault="00F006DB" w:rsidP="00EE10D2">
      <w:r w:rsidRPr="00F006DB">
        <w:t xml:space="preserve">Earlier than anticipated reimbursement from the Queensland Government for the Roma Street and South Bank Parklands capital expenditure plan. This is expected to materially align with the annual budget at the end of the financial year. </w:t>
      </w:r>
    </w:p>
    <w:p w14:paraId="4609B93F" w14:textId="4FFA17FF" w:rsidR="00F006DB" w:rsidRPr="00F006DB" w:rsidRDefault="00F006DB" w:rsidP="00EE10D2">
      <w:r w:rsidRPr="00F006DB">
        <w:t xml:space="preserve">Earlier than anticipated revenue associated with the capitalisation of assets from prior year projects. This will continue to be monitored throughout the year. </w:t>
      </w:r>
    </w:p>
    <w:p w14:paraId="7E14892A" w14:textId="77777777" w:rsidR="00F006DB" w:rsidRPr="00F006DB" w:rsidRDefault="00F006DB" w:rsidP="00EE10D2">
      <w:pPr>
        <w:rPr>
          <w:rFonts w:eastAsia="Arial" w:cs="Arial"/>
          <w:szCs w:val="22"/>
        </w:rPr>
      </w:pPr>
    </w:p>
    <w:p w14:paraId="74DF03F2" w14:textId="77777777" w:rsidR="00F006DB" w:rsidRPr="00F006DB" w:rsidRDefault="00F006DB" w:rsidP="00EE10D2">
      <w:r w:rsidRPr="00F006DB">
        <w:t>Operating expenses are below budget during the period, mainly due to:</w:t>
      </w:r>
    </w:p>
    <w:p w14:paraId="2AA74623" w14:textId="359444C6" w:rsidR="00F006DB" w:rsidRPr="00F006DB" w:rsidRDefault="00F006DB" w:rsidP="00EE10D2">
      <w:r w:rsidRPr="00F006DB">
        <w:t xml:space="preserve">Rephased expenditure in the Community Engagement and Partnerships strategy, mainly relating to the Brisbane Sustainability Agency Pty Ltd – Operations and Green Heart Sustainability Events projects, due to timing of payments for funding agreements. </w:t>
      </w:r>
    </w:p>
    <w:p w14:paraId="6E3A83DB" w14:textId="0B545F20" w:rsidR="00F006DB" w:rsidRPr="00F006DB" w:rsidRDefault="00F006DB" w:rsidP="00EE10D2">
      <w:r w:rsidRPr="00F006DB">
        <w:t xml:space="preserve">Rephased expenditure in the Grow, Improve and Maintain Brisbane’s Conservation Reserves Network strategy, mainly relating to the Wipe Out Weeds project.  </w:t>
      </w:r>
    </w:p>
    <w:p w14:paraId="55E14BEA" w14:textId="77777777" w:rsidR="00F006DB" w:rsidRPr="00F006DB" w:rsidRDefault="00F006DB" w:rsidP="00EE10D2">
      <w:pPr>
        <w:rPr>
          <w:rFonts w:eastAsia="Arial" w:cs="Arial"/>
          <w:szCs w:val="22"/>
        </w:rPr>
      </w:pPr>
    </w:p>
    <w:p w14:paraId="3F2A2474" w14:textId="77777777" w:rsidR="00F006DB" w:rsidRPr="00F006DB" w:rsidRDefault="00F006DB" w:rsidP="00EE10D2">
      <w:r w:rsidRPr="00F006DB">
        <w:t>Operating expenses are expected to materially align with the annual budget at the end of the financial year.</w:t>
      </w:r>
    </w:p>
    <w:p w14:paraId="4EC544D1" w14:textId="77777777" w:rsidR="00F006DB" w:rsidRPr="00F006DB" w:rsidRDefault="00F006DB" w:rsidP="00EE10D2">
      <w:pPr>
        <w:rPr>
          <w:rFonts w:eastAsia="Arial" w:cs="Arial"/>
          <w:szCs w:val="22"/>
        </w:rPr>
      </w:pPr>
      <w:r w:rsidRPr="00F006DB">
        <w:rPr>
          <w:rFonts w:eastAsia="Arial" w:cs="Arial"/>
          <w:szCs w:val="22"/>
        </w:rPr>
        <w:t xml:space="preserve"> </w:t>
      </w:r>
    </w:p>
    <w:p w14:paraId="00EDD521" w14:textId="77777777" w:rsidR="00F006DB" w:rsidRPr="00F006DB" w:rsidRDefault="00F006DB" w:rsidP="00EE10D2">
      <w:r w:rsidRPr="00F006DB">
        <w:t>Overall, capital expenditure for the period is on track against budget and includes the following offsetting variances:</w:t>
      </w:r>
    </w:p>
    <w:p w14:paraId="3F16063D" w14:textId="0CC6D71D" w:rsidR="00F006DB" w:rsidRPr="00254526" w:rsidRDefault="00BB71FE" w:rsidP="00EE10D2">
      <w:r w:rsidRPr="00254526">
        <w:t>Rephased</w:t>
      </w:r>
      <w:r w:rsidR="00F006DB" w:rsidRPr="00254526">
        <w:t xml:space="preserve"> expenditure in the Grow, Improve and Maintain Brisbane's Network of Urban Parks strategy, mainly relating to the Delivering Sports Parks for Brisbane project. </w:t>
      </w:r>
      <w:r w:rsidR="00AB14EE" w:rsidRPr="00254526">
        <w:t>This will continue to be monitored throughout the year and be adjusted at a future budget review if required.</w:t>
      </w:r>
    </w:p>
    <w:p w14:paraId="481B5F3B" w14:textId="602DB509" w:rsidR="00EA7DAA" w:rsidRPr="00F006DB" w:rsidRDefault="00F006DB" w:rsidP="00EE10D2">
      <w:r w:rsidRPr="00F006DB">
        <w:t>Partly offset by rephased expenditure in the Grow, Improve and Maintain Brisbane's Conservation Reserves Network strategy, mainly relating to the Bushland Acquisition Program due to earlier than anticipated acquisitions. This is expected to materially align with the annual budget at the end of the financial year.</w:t>
      </w:r>
    </w:p>
    <w:p w14:paraId="10EDF5B9" w14:textId="0306D62E" w:rsidR="005B0CD4" w:rsidRDefault="005B0CD4" w:rsidP="00EE10D2"/>
    <w:p w14:paraId="6D208630" w14:textId="4FA2DBC0" w:rsidR="002B71AD" w:rsidRDefault="002D40C0" w:rsidP="008E7D8A">
      <w:pPr>
        <w:jc w:val="center"/>
        <w:rPr>
          <w:rFonts w:cs="Arial"/>
          <w:b/>
          <w:bCs/>
          <w:color w:val="0067B1"/>
          <w:szCs w:val="22"/>
          <w:lang w:val="en-AU"/>
        </w:rPr>
      </w:pPr>
      <w:r>
        <w:rPr>
          <w:noProof/>
        </w:rPr>
        <w:lastRenderedPageBreak/>
        <w:drawing>
          <wp:inline distT="0" distB="0" distL="0" distR="0" wp14:anchorId="35D52321" wp14:editId="71E0ED76">
            <wp:extent cx="5857875" cy="2743200"/>
            <wp:effectExtent l="0" t="0" r="9525" b="0"/>
            <wp:docPr id="4" name="Picture 4" descr="This graph shows Program 3 – Clean, Green and Sustainable City total expenses (operating and capital) by strategy for the period ended September 2022.&#10;&#10;Grow, Improve and Maintain Brisbane’s Network of Urban Parks $22.1 million&#10;Maintenance and Rehabilitation of Flood Management Assets $21.5 million&#10;Managing Brisbane’s Botanical Collections and Significant Parks $12.5 million&#10;Grow, Improve and Maintain Brisbane’s Conservation Reserves Network $8.3 million&#10;Integrated Water Cycle Management $5.2 million&#10;Flood Resilience $4.7 million&#10;Other strategies $9.7 million&#10;Total expenses by strategy (operating and capital) $84.0 mill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graph shows Program 3 – Clean, Green and Sustainable City total expenses (operating and capital) by strategy for the period ended September 2022.&#10;&#10;Grow, Improve and Maintain Brisbane’s Network of Urban Parks $22.1 million&#10;Maintenance and Rehabilitation of Flood Management Assets $21.5 million&#10;Managing Brisbane’s Botanical Collections and Significant Parks $12.5 million&#10;Grow, Improve and Maintain Brisbane’s Conservation Reserves Network $8.3 million&#10;Integrated Water Cycle Management $5.2 million&#10;Flood Resilience $4.7 million&#10;Other strategies $9.7 million&#10;Total expenses by strategy (operating and capital) $84.0 million&#10;"/>
                    <pic:cNvPicPr/>
                  </pic:nvPicPr>
                  <pic:blipFill>
                    <a:blip r:embed="rId31"/>
                    <a:stretch>
                      <a:fillRect/>
                    </a:stretch>
                  </pic:blipFill>
                  <pic:spPr>
                    <a:xfrm>
                      <a:off x="0" y="0"/>
                      <a:ext cx="5857875" cy="2743200"/>
                    </a:xfrm>
                    <a:prstGeom prst="rect">
                      <a:avLst/>
                    </a:prstGeom>
                  </pic:spPr>
                </pic:pic>
              </a:graphicData>
            </a:graphic>
          </wp:inline>
        </w:drawing>
      </w:r>
    </w:p>
    <w:p w14:paraId="2F7E4594" w14:textId="77777777" w:rsidR="00F006DB" w:rsidRPr="00F006DB" w:rsidRDefault="00F006DB" w:rsidP="008E7D8A">
      <w:pPr>
        <w:jc w:val="center"/>
        <w:rPr>
          <w:rFonts w:cs="Arial"/>
          <w:color w:val="0067B1"/>
          <w:szCs w:val="22"/>
          <w:lang w:val="en-AU"/>
        </w:rPr>
      </w:pPr>
    </w:p>
    <w:p w14:paraId="2736E231" w14:textId="0A84BD62" w:rsidR="00031618" w:rsidRDefault="00031618" w:rsidP="00EE10D2">
      <w:pPr>
        <w:pStyle w:val="Heading4black"/>
      </w:pPr>
      <w:r w:rsidRPr="0013507F">
        <w:t>Highlights and updates on key program strategies from the Annual Operational Plan</w:t>
      </w:r>
    </w:p>
    <w:p w14:paraId="216217EB" w14:textId="77777777" w:rsidR="00C70651" w:rsidRPr="006613BC" w:rsidRDefault="00C70651" w:rsidP="00C70651">
      <w:pPr>
        <w:pStyle w:val="NormalCouncilblue"/>
        <w:spacing w:after="0" w:line="240" w:lineRule="auto"/>
        <w:rPr>
          <w:b/>
          <w:bCs/>
        </w:rPr>
      </w:pPr>
    </w:p>
    <w:tbl>
      <w:tblPr>
        <w:tblStyle w:val="ListTable3-Accent1"/>
        <w:tblW w:w="9634" w:type="dxa"/>
        <w:tblBorders>
          <w:top w:val="single" w:sz="4" w:space="0" w:color="0067B1"/>
          <w:left w:val="single" w:sz="4" w:space="0" w:color="0067B1"/>
          <w:bottom w:val="single" w:sz="4" w:space="0" w:color="0067B1"/>
          <w:right w:val="single" w:sz="4" w:space="0" w:color="0067B1"/>
          <w:insideH w:val="single" w:sz="4" w:space="0" w:color="0067B1"/>
          <w:insideV w:val="single" w:sz="4" w:space="0" w:color="0067B1"/>
        </w:tblBorders>
        <w:tblLook w:val="04A0" w:firstRow="1" w:lastRow="0" w:firstColumn="1" w:lastColumn="0" w:noHBand="0" w:noVBand="1"/>
        <w:tblCaption w:val="HIghlights and updates on key programs strategies from the annual operational plan"/>
        <w:tblDescription w:val="Strategy. Highlights and updates&#10;Community engagement and partnerships&#10;Provided 3860 free native plants to Brisbane’s residents, schools, clubs and community groups.&#10;Safe, confident and ready community &#10;Facilitated 292,132 FloodWise Property Report downloads by residents and industry and 144,675 views of Council’s Flood Awareness Maps.&#10;Grow, Improve and Maintain Brisbane's Conservation Reserves Network&#10;Welcomed 44,662 visitors to Brisbane’s three Environment Centres – Karawatha, Downfall Creek and Boondall Wetlands, with 8825 visitors also participating in various Community Engagement Programs. Hosted 3889 students in Environment Centre school’s programs.  Planted over 4800 plants across 11.1 hectares under the Environmental Offsets project.  Five planned burns covering 55.3 hectares undertaken to date.&#10;Grow, Improve and Maintain Brisbane's Network of Urban Parks&#10;Released Victoria Park/Barrambin Draft Master Plan for community consultation. Delivered three Scooter Tracks at Paul Conti Park, Hemmant; Kathleen Street Park, Richlands; and Wittonga Park, The Gap. Completion of two Ninja Courses at Whites Hill Reserve, Holland Park; and Doulton Street Park, Calamvale. Procurement for the Sun Safe Suburban Playgrounds is underway to deliver the first phase. Delivery anticipated to start after the Christmas/New Year period, as the design and manufacture of shade sails can take up to 12 weeks with current lead times. Construction works are progressing at the Nudgee Recreation Reserve Sports Park, with current works focussing on the remediation of the former landfill. Delivered 13 parks projects with a further 16 in progress (as listed in the Suburban Works Program).&#10;&#10;Integrated water cycle management &#10;Transformed Hanlon Park/Bur’uda at Stones Corner from a&#10;100-year-old concrete drain into a thriving community greenspace&#10;with a natural waterway, adventure playground, shared pathways and public art which officially opened in July 2022.&#10;Flood resilience/maintenance rehabilitation of flood management assets&#10;Delivered six drainage construction and rehabilitation projects With a further eight in progress (as listed in the Suburban WorksProgram)."/>
      </w:tblPr>
      <w:tblGrid>
        <w:gridCol w:w="2405"/>
        <w:gridCol w:w="7229"/>
      </w:tblGrid>
      <w:tr w:rsidR="00031618" w:rsidRPr="00564A31" w14:paraId="4A5549DC" w14:textId="77777777" w:rsidTr="005C6CB3">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shd w:val="clear" w:color="auto" w:fill="0067B1"/>
          </w:tcPr>
          <w:p w14:paraId="5A62AA66" w14:textId="77777777" w:rsidR="00031618" w:rsidRPr="00564A31" w:rsidRDefault="00031618" w:rsidP="00EE10D2">
            <w:pPr>
              <w:rPr>
                <w:color w:val="0070C0"/>
              </w:rPr>
            </w:pPr>
            <w:r w:rsidRPr="00564A31">
              <w:t>Strategy</w:t>
            </w:r>
          </w:p>
        </w:tc>
        <w:tc>
          <w:tcPr>
            <w:tcW w:w="7229" w:type="dxa"/>
            <w:shd w:val="clear" w:color="auto" w:fill="0067B1"/>
          </w:tcPr>
          <w:p w14:paraId="162FFEF9" w14:textId="77777777" w:rsidR="00031618" w:rsidRPr="00564A31" w:rsidRDefault="00031618" w:rsidP="00EE10D2">
            <w:pPr>
              <w:cnfStyle w:val="100000000000" w:firstRow="1" w:lastRow="0" w:firstColumn="0" w:lastColumn="0" w:oddVBand="0" w:evenVBand="0" w:oddHBand="0" w:evenHBand="0" w:firstRowFirstColumn="0" w:firstRowLastColumn="0" w:lastRowFirstColumn="0" w:lastRowLastColumn="0"/>
              <w:rPr>
                <w:color w:val="auto"/>
              </w:rPr>
            </w:pPr>
            <w:r w:rsidRPr="00564A31">
              <w:t>Highlights and updates</w:t>
            </w:r>
          </w:p>
        </w:tc>
      </w:tr>
      <w:tr w:rsidR="00564A31" w:rsidRPr="00564A31" w14:paraId="1C4FB06F" w14:textId="77777777" w:rsidTr="005C6CB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44FF47A0" w14:textId="5E557064" w:rsidR="00661DBD" w:rsidRPr="00E7674D" w:rsidRDefault="00564A31" w:rsidP="00EE10D2">
            <w:pPr>
              <w:rPr>
                <w:rFonts w:eastAsia="Arial"/>
                <w:b w:val="0"/>
                <w:color w:val="000000" w:themeColor="text1"/>
              </w:rPr>
            </w:pPr>
            <w:r w:rsidRPr="00564A31">
              <w:rPr>
                <w:rFonts w:eastAsia="Arial"/>
                <w:color w:val="000000" w:themeColor="text1"/>
              </w:rPr>
              <w:t>Community Engagement and Partnerships</w:t>
            </w:r>
          </w:p>
        </w:tc>
        <w:tc>
          <w:tcPr>
            <w:tcW w:w="7229" w:type="dxa"/>
            <w:tcBorders>
              <w:top w:val="none" w:sz="0" w:space="0" w:color="auto"/>
              <w:bottom w:val="none" w:sz="0" w:space="0" w:color="auto"/>
            </w:tcBorders>
          </w:tcPr>
          <w:p w14:paraId="0D63665C" w14:textId="77777777" w:rsidR="00F006DB" w:rsidRPr="00F006DB" w:rsidRDefault="00F006DB"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F006DB">
              <w:rPr>
                <w:rFonts w:eastAsiaTheme="minorEastAsia"/>
              </w:rPr>
              <w:t>Provided 3860 free native plants to Brisbane’s residents, schools, clubs and community groups.</w:t>
            </w:r>
          </w:p>
          <w:p w14:paraId="77A8A85B" w14:textId="7198C8FC" w:rsidR="00564A31" w:rsidRPr="00564A31" w:rsidRDefault="00564A31" w:rsidP="00EE10D2">
            <w:pPr>
              <w:cnfStyle w:val="000000100000" w:firstRow="0" w:lastRow="0" w:firstColumn="0" w:lastColumn="0" w:oddVBand="0" w:evenVBand="0" w:oddHBand="1" w:evenHBand="0" w:firstRowFirstColumn="0" w:firstRowLastColumn="0" w:lastRowFirstColumn="0" w:lastRowLastColumn="0"/>
              <w:rPr>
                <w:bCs/>
                <w:noProof/>
                <w:snapToGrid w:val="0"/>
                <w:lang w:val="en-US"/>
              </w:rPr>
            </w:pPr>
            <w:r w:rsidRPr="00564A31">
              <w:rPr>
                <w:rFonts w:eastAsia="Arial"/>
              </w:rPr>
              <w:t xml:space="preserve"> </w:t>
            </w:r>
          </w:p>
        </w:tc>
      </w:tr>
      <w:tr w:rsidR="00564A31" w:rsidRPr="00564A31" w14:paraId="2CFB089E" w14:textId="77777777" w:rsidTr="005C6CB3">
        <w:trPr>
          <w:trHeight w:val="311"/>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0067B1"/>
              <w:right w:val="none" w:sz="0" w:space="0" w:color="auto"/>
            </w:tcBorders>
          </w:tcPr>
          <w:p w14:paraId="38305217" w14:textId="0780A84E" w:rsidR="00564A31" w:rsidRPr="00564A31" w:rsidRDefault="00564A31" w:rsidP="00EE10D2">
            <w:pPr>
              <w:rPr>
                <w:b w:val="0"/>
                <w:noProof/>
                <w:snapToGrid w:val="0"/>
                <w:lang w:val="en-US"/>
              </w:rPr>
            </w:pPr>
            <w:r w:rsidRPr="00564A31">
              <w:rPr>
                <w:rFonts w:eastAsia="Arial"/>
                <w:color w:val="000000" w:themeColor="text1"/>
              </w:rPr>
              <w:t>Safe, Confident and Ready Community</w:t>
            </w:r>
          </w:p>
        </w:tc>
        <w:tc>
          <w:tcPr>
            <w:tcW w:w="7229" w:type="dxa"/>
            <w:tcBorders>
              <w:bottom w:val="single" w:sz="4" w:space="0" w:color="0067B1"/>
            </w:tcBorders>
            <w:vAlign w:val="center"/>
          </w:tcPr>
          <w:p w14:paraId="0E4CF1AE" w14:textId="77777777" w:rsidR="00661DBD" w:rsidRPr="002918C9" w:rsidRDefault="002918C9"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2918C9">
              <w:rPr>
                <w:rFonts w:eastAsiaTheme="minorEastAsia"/>
              </w:rPr>
              <w:t xml:space="preserve">Facilitated 292,132 </w:t>
            </w:r>
            <w:proofErr w:type="spellStart"/>
            <w:r w:rsidRPr="002918C9">
              <w:rPr>
                <w:rFonts w:eastAsiaTheme="minorEastAsia"/>
              </w:rPr>
              <w:t>FloodWise</w:t>
            </w:r>
            <w:proofErr w:type="spellEnd"/>
            <w:r w:rsidRPr="002918C9">
              <w:rPr>
                <w:rFonts w:eastAsiaTheme="minorEastAsia"/>
              </w:rPr>
              <w:t xml:space="preserve"> Property Report downloads by residents and industry and 144,675 views of Council’s Flood Awareness Maps.</w:t>
            </w:r>
          </w:p>
          <w:p w14:paraId="5A0C8299" w14:textId="0F215F2D" w:rsidR="002918C9" w:rsidRPr="00661DBD" w:rsidRDefault="002918C9" w:rsidP="00EE10D2">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64A31" w:rsidRPr="00564A31" w14:paraId="0C0E5661" w14:textId="77777777" w:rsidTr="005C6CB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429F53EE" w14:textId="41CC7D0A" w:rsidR="00564A31" w:rsidRPr="00564A31" w:rsidRDefault="00564A31" w:rsidP="00EE10D2">
            <w:pPr>
              <w:rPr>
                <w:b w:val="0"/>
                <w:noProof/>
                <w:snapToGrid w:val="0"/>
                <w:lang w:val="en-US"/>
              </w:rPr>
            </w:pPr>
            <w:r w:rsidRPr="00564A31">
              <w:rPr>
                <w:rFonts w:eastAsia="Arial"/>
                <w:color w:val="000000" w:themeColor="text1"/>
              </w:rPr>
              <w:t>Grow, Improve and Maintain Brisbane's Conservation Reserves Network</w:t>
            </w:r>
          </w:p>
        </w:tc>
        <w:tc>
          <w:tcPr>
            <w:tcW w:w="7229" w:type="dxa"/>
            <w:tcBorders>
              <w:top w:val="none" w:sz="0" w:space="0" w:color="auto"/>
              <w:bottom w:val="none" w:sz="0" w:space="0" w:color="auto"/>
            </w:tcBorders>
            <w:vAlign w:val="center"/>
          </w:tcPr>
          <w:p w14:paraId="2F275F01" w14:textId="77777777" w:rsidR="002918C9" w:rsidRPr="002918C9" w:rsidRDefault="002918C9"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918C9">
              <w:rPr>
                <w:rFonts w:eastAsiaTheme="minorEastAsia"/>
              </w:rPr>
              <w:t>Welcomed 44,662 visitors to Brisbane’s three Environment Centres – Karawatha, Downfall Creek and Boondall Wetlands, with 8825 visitors also participating in various Community Engagement Programs.</w:t>
            </w:r>
          </w:p>
          <w:p w14:paraId="14746DDA" w14:textId="35CFB8D6" w:rsidR="002918C9" w:rsidRPr="002918C9" w:rsidRDefault="002918C9"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918C9">
              <w:rPr>
                <w:rFonts w:eastAsiaTheme="minorEastAsia"/>
              </w:rPr>
              <w:t>Hosted 3889 students in Environment Centre school</w:t>
            </w:r>
            <w:r w:rsidR="00262BB2">
              <w:rPr>
                <w:rFonts w:eastAsiaTheme="minorEastAsia"/>
              </w:rPr>
              <w:t>’</w:t>
            </w:r>
            <w:r w:rsidRPr="002918C9">
              <w:rPr>
                <w:rFonts w:eastAsiaTheme="minorEastAsia"/>
              </w:rPr>
              <w:t>s programs.</w:t>
            </w:r>
          </w:p>
          <w:p w14:paraId="51A6F86B" w14:textId="77777777" w:rsidR="002918C9" w:rsidRPr="002918C9" w:rsidRDefault="002918C9"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918C9">
              <w:rPr>
                <w:rFonts w:eastAsiaTheme="minorEastAsia"/>
              </w:rPr>
              <w:t>Planted over 4800 plants across 11.1 hectares under the Environmental Offsets project.</w:t>
            </w:r>
          </w:p>
          <w:p w14:paraId="1D1E8D0F" w14:textId="77777777" w:rsidR="00661DBD" w:rsidRPr="002918C9" w:rsidRDefault="002918C9" w:rsidP="00EE10D2">
            <w:pPr>
              <w:cnfStyle w:val="000000100000" w:firstRow="0" w:lastRow="0" w:firstColumn="0" w:lastColumn="0" w:oddVBand="0" w:evenVBand="0" w:oddHBand="1" w:evenHBand="0" w:firstRowFirstColumn="0" w:firstRowLastColumn="0" w:lastRowFirstColumn="0" w:lastRowLastColumn="0"/>
              <w:rPr>
                <w:bCs/>
                <w:noProof/>
                <w:snapToGrid w:val="0"/>
                <w:lang w:val="en-US"/>
              </w:rPr>
            </w:pPr>
            <w:r w:rsidRPr="002918C9">
              <w:rPr>
                <w:rFonts w:eastAsiaTheme="minorEastAsia"/>
              </w:rPr>
              <w:t>Five planned burns covering 55.3 hectares undertaken to date.</w:t>
            </w:r>
          </w:p>
          <w:p w14:paraId="7563ADC5" w14:textId="0B42CF7C" w:rsidR="002918C9" w:rsidRPr="005738B1" w:rsidRDefault="002918C9" w:rsidP="00EE10D2">
            <w:pPr>
              <w:cnfStyle w:val="000000100000" w:firstRow="0" w:lastRow="0" w:firstColumn="0" w:lastColumn="0" w:oddVBand="0" w:evenVBand="0" w:oddHBand="1" w:evenHBand="0" w:firstRowFirstColumn="0" w:firstRowLastColumn="0" w:lastRowFirstColumn="0" w:lastRowLastColumn="0"/>
              <w:rPr>
                <w:bCs/>
                <w:noProof/>
                <w:snapToGrid w:val="0"/>
                <w:lang w:val="en-US"/>
              </w:rPr>
            </w:pPr>
          </w:p>
        </w:tc>
      </w:tr>
      <w:tr w:rsidR="00564A31" w:rsidRPr="00564A31" w14:paraId="45E42EB6" w14:textId="77777777" w:rsidTr="005C6CB3">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4508C966" w14:textId="75C1CEAD" w:rsidR="00564A31" w:rsidRPr="00564A31" w:rsidRDefault="00564A31" w:rsidP="00EE10D2">
            <w:pPr>
              <w:rPr>
                <w:b w:val="0"/>
                <w:noProof/>
                <w:snapToGrid w:val="0"/>
                <w:lang w:val="en-US"/>
              </w:rPr>
            </w:pPr>
            <w:r w:rsidRPr="00564A31">
              <w:rPr>
                <w:rFonts w:eastAsia="Arial"/>
                <w:color w:val="000000" w:themeColor="text1"/>
              </w:rPr>
              <w:t>Grow, Improve and Maintain Brisbane's Network of Urban Parks</w:t>
            </w:r>
          </w:p>
        </w:tc>
        <w:tc>
          <w:tcPr>
            <w:tcW w:w="7229" w:type="dxa"/>
          </w:tcPr>
          <w:p w14:paraId="393CDADB" w14:textId="050A3426" w:rsidR="002918C9" w:rsidRPr="002918C9" w:rsidRDefault="002918C9"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2918C9">
              <w:rPr>
                <w:rFonts w:eastAsiaTheme="minorEastAsia"/>
              </w:rPr>
              <w:t>Released Victoria Park/</w:t>
            </w:r>
            <w:proofErr w:type="spellStart"/>
            <w:r w:rsidRPr="002918C9">
              <w:rPr>
                <w:rFonts w:eastAsiaTheme="minorEastAsia"/>
              </w:rPr>
              <w:t>Barrambin</w:t>
            </w:r>
            <w:proofErr w:type="spellEnd"/>
            <w:r w:rsidRPr="002918C9">
              <w:rPr>
                <w:rFonts w:eastAsiaTheme="minorEastAsia"/>
              </w:rPr>
              <w:t xml:space="preserve"> Draft Master Plan for community consultation. </w:t>
            </w:r>
          </w:p>
          <w:p w14:paraId="6EA4C917" w14:textId="751FA158" w:rsidR="002918C9" w:rsidRPr="002918C9" w:rsidRDefault="002918C9"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2918C9">
              <w:rPr>
                <w:rFonts w:eastAsiaTheme="minorEastAsia"/>
              </w:rPr>
              <w:t xml:space="preserve">Delivered three Scooter Tracks at Paul Conti Park, Hemmant; Kathleen Street Park, Richlands; and </w:t>
            </w:r>
            <w:proofErr w:type="spellStart"/>
            <w:r w:rsidRPr="002918C9">
              <w:rPr>
                <w:rFonts w:eastAsiaTheme="minorEastAsia"/>
              </w:rPr>
              <w:t>Wittonga</w:t>
            </w:r>
            <w:proofErr w:type="spellEnd"/>
            <w:r w:rsidRPr="002918C9">
              <w:rPr>
                <w:rFonts w:eastAsiaTheme="minorEastAsia"/>
              </w:rPr>
              <w:t xml:space="preserve"> Park, The Gap.</w:t>
            </w:r>
          </w:p>
          <w:p w14:paraId="42C366C6" w14:textId="42166903" w:rsidR="002918C9" w:rsidRPr="002918C9" w:rsidRDefault="002918C9"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2918C9">
              <w:rPr>
                <w:rFonts w:eastAsiaTheme="minorEastAsia"/>
              </w:rPr>
              <w:t>Completion of two Ninja Courses at Whites Hill Reserve, Holland Park; and Doulton Street Park, Calamvale.</w:t>
            </w:r>
          </w:p>
          <w:p w14:paraId="5D4A97AA" w14:textId="2E39AB55" w:rsidR="002918C9" w:rsidRPr="002918C9" w:rsidRDefault="002918C9"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2918C9">
              <w:rPr>
                <w:rFonts w:eastAsiaTheme="minorEastAsia"/>
              </w:rPr>
              <w:t>Procurement for the Sun Safe Suburban Playgrounds is underway to deliver the first phase. Delivery anticipated to start after the Christmas/New Year period, as the design and manufacture of shade sails can take up to 12 weeks with current lead times.</w:t>
            </w:r>
          </w:p>
          <w:p w14:paraId="11A93784" w14:textId="322FF1AC" w:rsidR="002918C9" w:rsidRPr="002918C9" w:rsidRDefault="002918C9"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2918C9">
              <w:rPr>
                <w:rFonts w:eastAsiaTheme="minorEastAsia"/>
              </w:rPr>
              <w:t>Construction works are progressing at the Nudgee Recreation Reserve Sports Park, with current works focussing on the remediation of the former landfill.</w:t>
            </w:r>
          </w:p>
          <w:p w14:paraId="07D67EE3" w14:textId="77777777" w:rsidR="00E7674D" w:rsidRDefault="002918C9"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2918C9">
              <w:rPr>
                <w:rFonts w:eastAsiaTheme="minorEastAsia"/>
              </w:rPr>
              <w:t>Delivered 13 parks projects with a further 16 in progress (as listed in the Suburban Works Program).</w:t>
            </w:r>
          </w:p>
          <w:p w14:paraId="7D2314DC" w14:textId="6EC49D61" w:rsidR="002918C9" w:rsidRPr="002918C9" w:rsidRDefault="002918C9" w:rsidP="00EE10D2">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64A31" w:rsidRPr="00564A31" w14:paraId="37C841FE" w14:textId="77777777" w:rsidTr="005C6CB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4B5137BD" w14:textId="43DB440C" w:rsidR="00564A31" w:rsidRPr="00564A31" w:rsidRDefault="00564A31" w:rsidP="00EE10D2">
            <w:pPr>
              <w:rPr>
                <w:b w:val="0"/>
                <w:noProof/>
                <w:snapToGrid w:val="0"/>
                <w:lang w:val="en-US"/>
              </w:rPr>
            </w:pPr>
            <w:r w:rsidRPr="00564A31">
              <w:lastRenderedPageBreak/>
              <w:t>Integrated Water Cycle Management</w:t>
            </w:r>
          </w:p>
        </w:tc>
        <w:tc>
          <w:tcPr>
            <w:tcW w:w="7229" w:type="dxa"/>
            <w:tcBorders>
              <w:top w:val="none" w:sz="0" w:space="0" w:color="auto"/>
              <w:bottom w:val="none" w:sz="0" w:space="0" w:color="auto"/>
            </w:tcBorders>
          </w:tcPr>
          <w:p w14:paraId="12C29C61" w14:textId="77777777" w:rsidR="002169F8" w:rsidRPr="002169F8" w:rsidRDefault="002918C9" w:rsidP="00EE10D2">
            <w:pPr>
              <w:cnfStyle w:val="000000100000" w:firstRow="0" w:lastRow="0" w:firstColumn="0" w:lastColumn="0" w:oddVBand="0" w:evenVBand="0" w:oddHBand="1" w:evenHBand="0" w:firstRowFirstColumn="0" w:firstRowLastColumn="0" w:lastRowFirstColumn="0" w:lastRowLastColumn="0"/>
              <w:rPr>
                <w:noProof/>
                <w:snapToGrid w:val="0"/>
                <w:lang w:val="en-US"/>
              </w:rPr>
            </w:pPr>
            <w:r w:rsidRPr="002918C9">
              <w:rPr>
                <w:rFonts w:eastAsiaTheme="minorEastAsia"/>
              </w:rPr>
              <w:t>Transformed Hanlon Park/</w:t>
            </w:r>
            <w:proofErr w:type="spellStart"/>
            <w:r w:rsidRPr="002918C9">
              <w:rPr>
                <w:rFonts w:eastAsiaTheme="minorEastAsia"/>
              </w:rPr>
              <w:t>Bur’uda</w:t>
            </w:r>
            <w:proofErr w:type="spellEnd"/>
            <w:r w:rsidRPr="002918C9">
              <w:rPr>
                <w:rFonts w:eastAsiaTheme="minorEastAsia"/>
              </w:rPr>
              <w:t xml:space="preserve"> at Stones Corner from a </w:t>
            </w:r>
          </w:p>
          <w:p w14:paraId="1DC61314" w14:textId="1B97346B" w:rsidR="00E7674D" w:rsidRPr="002918C9" w:rsidRDefault="002918C9" w:rsidP="00EE10D2">
            <w:pPr>
              <w:cnfStyle w:val="000000100000" w:firstRow="0" w:lastRow="0" w:firstColumn="0" w:lastColumn="0" w:oddVBand="0" w:evenVBand="0" w:oddHBand="1" w:evenHBand="0" w:firstRowFirstColumn="0" w:firstRowLastColumn="0" w:lastRowFirstColumn="0" w:lastRowLastColumn="0"/>
              <w:rPr>
                <w:noProof/>
                <w:snapToGrid w:val="0"/>
                <w:lang w:val="en-US"/>
              </w:rPr>
            </w:pPr>
            <w:r w:rsidRPr="002918C9">
              <w:rPr>
                <w:rFonts w:eastAsiaTheme="minorEastAsia"/>
              </w:rPr>
              <w:t>100-year-old concrete drain into a thriving community greenspace with a natural waterway, adventure playground, shared pathways and public art which officially opened in July 2022.</w:t>
            </w:r>
          </w:p>
          <w:p w14:paraId="05D42CD3" w14:textId="2877FA32" w:rsidR="002918C9" w:rsidRPr="005738B1" w:rsidRDefault="002918C9" w:rsidP="00EE10D2">
            <w:pPr>
              <w:cnfStyle w:val="000000100000" w:firstRow="0" w:lastRow="0" w:firstColumn="0" w:lastColumn="0" w:oddVBand="0" w:evenVBand="0" w:oddHBand="1" w:evenHBand="0" w:firstRowFirstColumn="0" w:firstRowLastColumn="0" w:lastRowFirstColumn="0" w:lastRowLastColumn="0"/>
              <w:rPr>
                <w:noProof/>
                <w:snapToGrid w:val="0"/>
                <w:lang w:val="en-US"/>
              </w:rPr>
            </w:pPr>
          </w:p>
        </w:tc>
      </w:tr>
      <w:tr w:rsidR="00564A31" w:rsidRPr="00564A31" w14:paraId="43466B9E" w14:textId="77777777" w:rsidTr="005C6CB3">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5A3FB6D5" w14:textId="48202B9D" w:rsidR="00C77AD4" w:rsidRDefault="00564A31" w:rsidP="00EE10D2">
            <w:pPr>
              <w:rPr>
                <w:rFonts w:eastAsia="Arial"/>
                <w:b w:val="0"/>
                <w:color w:val="000000" w:themeColor="text1"/>
              </w:rPr>
            </w:pPr>
            <w:r w:rsidRPr="00564A31">
              <w:rPr>
                <w:rFonts w:eastAsia="Arial"/>
                <w:color w:val="000000" w:themeColor="text1"/>
              </w:rPr>
              <w:t>Flood Resilience</w:t>
            </w:r>
            <w:r w:rsidR="00E507EB">
              <w:rPr>
                <w:rFonts w:eastAsia="Arial"/>
                <w:color w:val="000000" w:themeColor="text1"/>
              </w:rPr>
              <w:t>/</w:t>
            </w:r>
          </w:p>
          <w:p w14:paraId="70BC6E09" w14:textId="7611356B" w:rsidR="002D40C0" w:rsidRPr="00564A31" w:rsidRDefault="00564A31" w:rsidP="00EE10D2">
            <w:pPr>
              <w:rPr>
                <w:b w:val="0"/>
                <w:noProof/>
                <w:snapToGrid w:val="0"/>
                <w:lang w:val="en-US"/>
              </w:rPr>
            </w:pPr>
            <w:r w:rsidRPr="00564A31">
              <w:rPr>
                <w:rFonts w:eastAsia="Arial"/>
                <w:color w:val="000000" w:themeColor="text1"/>
              </w:rPr>
              <w:t>Maintenance and Rehabilitation of Flood Management Assets</w:t>
            </w:r>
          </w:p>
        </w:tc>
        <w:tc>
          <w:tcPr>
            <w:tcW w:w="7229" w:type="dxa"/>
          </w:tcPr>
          <w:p w14:paraId="07D64CA1" w14:textId="34CC7F3D" w:rsidR="00564A31" w:rsidRPr="00564A31" w:rsidRDefault="002918C9" w:rsidP="00EE10D2">
            <w:pPr>
              <w:cnfStyle w:val="000000000000" w:firstRow="0" w:lastRow="0" w:firstColumn="0" w:lastColumn="0" w:oddVBand="0" w:evenVBand="0" w:oddHBand="0" w:evenHBand="0" w:firstRowFirstColumn="0" w:firstRowLastColumn="0" w:lastRowFirstColumn="0" w:lastRowLastColumn="0"/>
              <w:rPr>
                <w:noProof/>
                <w:snapToGrid w:val="0"/>
                <w:lang w:val="en-US"/>
              </w:rPr>
            </w:pPr>
            <w:r w:rsidRPr="002918C9">
              <w:rPr>
                <w:rFonts w:eastAsiaTheme="minorEastAsia"/>
              </w:rPr>
              <w:t>Delivered six drainage construction and rehabilitation projects with a further eight in progress (as listed in the Suburban Works Program).</w:t>
            </w:r>
          </w:p>
        </w:tc>
      </w:tr>
    </w:tbl>
    <w:p w14:paraId="4FFC71B4" w14:textId="72EAA4B5" w:rsidR="00516011" w:rsidRDefault="00516011" w:rsidP="00C707C2">
      <w:pPr>
        <w:sectPr w:rsidR="00516011" w:rsidSect="0013507F">
          <w:footerReference w:type="default" r:id="rId32"/>
          <w:pgSz w:w="11900" w:h="16840"/>
          <w:pgMar w:top="1440" w:right="1134" w:bottom="1440" w:left="1134" w:header="709" w:footer="709" w:gutter="0"/>
          <w:cols w:space="708"/>
          <w:docGrid w:linePitch="360"/>
        </w:sectPr>
      </w:pPr>
    </w:p>
    <w:p w14:paraId="3053F506" w14:textId="459A6AB5" w:rsidR="00BE34DF" w:rsidRPr="00BE4A88" w:rsidRDefault="00BE34DF" w:rsidP="0057257F">
      <w:pPr>
        <w:pStyle w:val="Heading3"/>
      </w:pPr>
      <w:bookmarkStart w:id="27" w:name="_Toc127436757"/>
      <w:r w:rsidRPr="00BE4A88">
        <w:lastRenderedPageBreak/>
        <w:t>Program 4 – Future Brisbane</w:t>
      </w:r>
      <w:bookmarkEnd w:id="27"/>
    </w:p>
    <w:p w14:paraId="1FEBB93A" w14:textId="28BF231F" w:rsidR="00BE34DF" w:rsidRDefault="00BE34DF" w:rsidP="006D7923">
      <w:pPr>
        <w:rPr>
          <w:rFonts w:cs="Arial"/>
          <w:b/>
          <w:bCs/>
          <w:sz w:val="20"/>
          <w:szCs w:val="20"/>
        </w:rPr>
      </w:pPr>
    </w:p>
    <w:p w14:paraId="743E6867" w14:textId="7D6DD9D2" w:rsidR="00BE34DF" w:rsidRDefault="004D36CF" w:rsidP="00601459">
      <w:pPr>
        <w:jc w:val="center"/>
        <w:rPr>
          <w:b/>
          <w:bCs/>
        </w:rPr>
      </w:pPr>
      <w:r>
        <w:rPr>
          <w:noProof/>
        </w:rPr>
        <w:drawing>
          <wp:inline distT="0" distB="0" distL="0" distR="0" wp14:anchorId="2E094AA5" wp14:editId="354A0B25">
            <wp:extent cx="6116320" cy="1671955"/>
            <wp:effectExtent l="0" t="0" r="0" b="4445"/>
            <wp:docPr id="19" name="Picture 5" descr="This graph shows Program 4 – Future Brisbane revenue, operating expenses and capital expenditure for the period ended September 2022, against the approved annual budget.&#10;&#10;Revenue&#10;$14.8 million (actual)&#10;$73.2 million (approved annual budget)&#10;&#10;Operating expenses&#10;$22.8 million (actual)&#10;$102.7 million (approved annual budget)&#10;&#10;Capital expenditure&#10;$805.6 thousand (actual)&#10;$6.4 million (approved annual budget)&#10;">
              <a:extLst xmlns:a="http://schemas.openxmlformats.org/drawingml/2006/main">
                <a:ext uri="{FF2B5EF4-FFF2-40B4-BE49-F238E27FC236}">
                  <a16:creationId xmlns:a16="http://schemas.microsoft.com/office/drawing/2014/main" id="{27DA5319-7B6E-4927-9265-7D25562A7A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descr="This graph shows Program 4 – Future Brisbane revenue, operating expenses and capital expenditure for the period ended September 2022, against the approved annual budget.&#10;&#10;Revenue&#10;$14.8 million (actual)&#10;$73.2 million (approved annual budget)&#10;&#10;Operating expenses&#10;$22.8 million (actual)&#10;$102.7 million (approved annual budget)&#10;&#10;Capital expenditure&#10;$805.6 thousand (actual)&#10;$6.4 million (approved annual budget)&#10;">
                      <a:extLst>
                        <a:ext uri="{FF2B5EF4-FFF2-40B4-BE49-F238E27FC236}">
                          <a16:creationId xmlns:a16="http://schemas.microsoft.com/office/drawing/2014/main" id="{27DA5319-7B6E-4927-9265-7D25562A7AE7}"/>
                        </a:ext>
                      </a:extLst>
                    </pic:cNvPr>
                    <pic:cNvPicPr>
                      <a:picLocks noChangeAspect="1"/>
                    </pic:cNvPicPr>
                  </pic:nvPicPr>
                  <pic:blipFill>
                    <a:blip r:embed="rId33"/>
                    <a:stretch>
                      <a:fillRect/>
                    </a:stretch>
                  </pic:blipFill>
                  <pic:spPr>
                    <a:xfrm>
                      <a:off x="0" y="0"/>
                      <a:ext cx="6116320" cy="1671955"/>
                    </a:xfrm>
                    <a:prstGeom prst="rect">
                      <a:avLst/>
                    </a:prstGeom>
                  </pic:spPr>
                </pic:pic>
              </a:graphicData>
            </a:graphic>
          </wp:inline>
        </w:drawing>
      </w:r>
    </w:p>
    <w:p w14:paraId="3CBD338B" w14:textId="77777777" w:rsidR="005738B1" w:rsidRPr="005738B1" w:rsidRDefault="005738B1" w:rsidP="00BE4A88">
      <w:pPr>
        <w:pStyle w:val="NormalCouncilblue"/>
        <w:spacing w:after="0"/>
        <w:rPr>
          <w:b/>
          <w:bCs/>
        </w:rPr>
      </w:pPr>
    </w:p>
    <w:p w14:paraId="1938245E" w14:textId="3DDF5B45" w:rsidR="00BE34DF" w:rsidRDefault="00BE34DF" w:rsidP="00EE10D2">
      <w:pPr>
        <w:pStyle w:val="Heading4black"/>
      </w:pPr>
      <w:r w:rsidRPr="00BE4A88">
        <w:t>Program financial results</w:t>
      </w:r>
    </w:p>
    <w:p w14:paraId="180E9B61" w14:textId="77777777" w:rsidR="00BE4A88" w:rsidRPr="00BE4A88" w:rsidRDefault="00BE4A88" w:rsidP="00BE4A88">
      <w:pPr>
        <w:pStyle w:val="NormalCouncilblue"/>
        <w:spacing w:after="0"/>
        <w:rPr>
          <w:b/>
          <w:bCs/>
        </w:rPr>
      </w:pPr>
    </w:p>
    <w:p w14:paraId="22DE77C6" w14:textId="776498E3" w:rsidR="002918C9" w:rsidRPr="002918C9" w:rsidRDefault="002918C9" w:rsidP="002918C9">
      <w:pPr>
        <w:jc w:val="both"/>
      </w:pPr>
      <w:r w:rsidRPr="002918C9">
        <w:t>Revenue is below budget during the period mainly due to rephased develop</w:t>
      </w:r>
      <w:r w:rsidR="005D233E">
        <w:t>ment</w:t>
      </w:r>
      <w:r w:rsidRPr="002918C9">
        <w:t xml:space="preserve"> assessment and building applications fees. This will continue to be monitored throughout the year. </w:t>
      </w:r>
    </w:p>
    <w:p w14:paraId="4BA59C81" w14:textId="77777777" w:rsidR="002918C9" w:rsidRPr="002918C9" w:rsidRDefault="002918C9" w:rsidP="002918C9">
      <w:pPr>
        <w:jc w:val="both"/>
      </w:pPr>
      <w:r w:rsidRPr="002918C9">
        <w:t xml:space="preserve"> </w:t>
      </w:r>
    </w:p>
    <w:p w14:paraId="2B71D5D5" w14:textId="2691E738" w:rsidR="002918C9" w:rsidRPr="002918C9" w:rsidRDefault="002918C9" w:rsidP="002918C9">
      <w:pPr>
        <w:jc w:val="both"/>
      </w:pPr>
      <w:r w:rsidRPr="002918C9">
        <w:t>Operating expenses are below budget during the period mainly due to rephased expenditure in the Development Regulation strategy, relating to the Future Development Services Enablement Project and development assessment and regulatory activities. This will continue to be monitored throughout the year.</w:t>
      </w:r>
    </w:p>
    <w:p w14:paraId="49252578" w14:textId="77777777" w:rsidR="002918C9" w:rsidRPr="002918C9" w:rsidRDefault="002918C9" w:rsidP="002918C9">
      <w:pPr>
        <w:jc w:val="both"/>
      </w:pPr>
      <w:r w:rsidRPr="002918C9">
        <w:t xml:space="preserve"> </w:t>
      </w:r>
    </w:p>
    <w:p w14:paraId="5D561C4E" w14:textId="079EC6BF" w:rsidR="00BE34DF" w:rsidRDefault="008A0C6C" w:rsidP="008A0C6C">
      <w:pPr>
        <w:jc w:val="both"/>
      </w:pPr>
      <w:r w:rsidRPr="008A0C6C">
        <w:t xml:space="preserve">Capital expenditure is below budget during the period mainly due to rephased expenditure in the Design Brisbane strategy relating to </w:t>
      </w:r>
      <w:r>
        <w:t xml:space="preserve">the </w:t>
      </w:r>
      <w:r w:rsidRPr="008A0C6C">
        <w:t>Village Precincts Projects. This is expected to</w:t>
      </w:r>
      <w:r>
        <w:t xml:space="preserve"> </w:t>
      </w:r>
      <w:r w:rsidRPr="008A0C6C">
        <w:t>materially align with the annual budget at the end of the financial year.</w:t>
      </w:r>
    </w:p>
    <w:p w14:paraId="387184F6" w14:textId="77777777" w:rsidR="008A0C6C" w:rsidRDefault="008A0C6C" w:rsidP="002B71AD">
      <w:pPr>
        <w:jc w:val="center"/>
        <w:rPr>
          <w:noProof/>
        </w:rPr>
      </w:pPr>
    </w:p>
    <w:p w14:paraId="4B88B666" w14:textId="08E3EC1E" w:rsidR="00BE34DF" w:rsidRDefault="00F227AE" w:rsidP="00BE34DF">
      <w:pPr>
        <w:jc w:val="center"/>
      </w:pPr>
      <w:r>
        <w:rPr>
          <w:noProof/>
        </w:rPr>
        <w:drawing>
          <wp:inline distT="0" distB="0" distL="0" distR="0" wp14:anchorId="2AE5E60F" wp14:editId="372EB3EC">
            <wp:extent cx="6105525" cy="1724025"/>
            <wp:effectExtent l="0" t="0" r="9525" b="9525"/>
            <wp:docPr id="10" name="Picture 10" descr="This graph shows Program 4 – Future Brisbane total expenses (operating and capital) by strategy for the period ended September 2022.&#10;&#10;Development Regulation $19.0 million&#10;Planning for a Growing City $2.6 million&#10;Design Brisbane $2.1 million&#10;Total expenses by strategy (operating and capital) $23.6 mill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graph shows Program 4 – Future Brisbane total expenses (operating and capital) by strategy for the period ended September 2022.&#10;&#10;Development Regulation $19.0 million&#10;Planning for a Growing City $2.6 million&#10;Design Brisbane $2.1 million&#10;Total expenses by strategy (operating and capital) $23.6 million&#10;"/>
                    <pic:cNvPicPr/>
                  </pic:nvPicPr>
                  <pic:blipFill>
                    <a:blip r:embed="rId34"/>
                    <a:stretch>
                      <a:fillRect/>
                    </a:stretch>
                  </pic:blipFill>
                  <pic:spPr>
                    <a:xfrm>
                      <a:off x="0" y="0"/>
                      <a:ext cx="6105525" cy="1724025"/>
                    </a:xfrm>
                    <a:prstGeom prst="rect">
                      <a:avLst/>
                    </a:prstGeom>
                  </pic:spPr>
                </pic:pic>
              </a:graphicData>
            </a:graphic>
          </wp:inline>
        </w:drawing>
      </w:r>
    </w:p>
    <w:p w14:paraId="08480CAD" w14:textId="36572141" w:rsidR="00031618" w:rsidRDefault="00031618">
      <w:pPr>
        <w:rPr>
          <w:rFonts w:cs="Arial"/>
          <w:b/>
          <w:bCs/>
          <w:color w:val="0067B1"/>
          <w:szCs w:val="22"/>
          <w:lang w:val="en-AU"/>
        </w:rPr>
      </w:pPr>
    </w:p>
    <w:p w14:paraId="5A9C3ED2" w14:textId="2596545F" w:rsidR="00031618" w:rsidRDefault="00031618" w:rsidP="00EE10D2">
      <w:pPr>
        <w:pStyle w:val="Heading4black"/>
      </w:pPr>
      <w:r w:rsidRPr="00BE4A88">
        <w:t>Highlights and updates on key program strategies from the Annual Operational Plan</w:t>
      </w:r>
    </w:p>
    <w:p w14:paraId="735749D3" w14:textId="77777777" w:rsidR="00BE4A88" w:rsidRPr="00BE4A88" w:rsidRDefault="00BE4A88" w:rsidP="00BE4A88">
      <w:pPr>
        <w:pStyle w:val="NormalCouncilblue"/>
        <w:spacing w:after="0" w:line="240" w:lineRule="auto"/>
        <w:rPr>
          <w:b/>
          <w:bCs/>
        </w:rPr>
      </w:pPr>
    </w:p>
    <w:tbl>
      <w:tblPr>
        <w:tblStyle w:val="ListTable3-Accent1"/>
        <w:tblW w:w="9634" w:type="dxa"/>
        <w:tblBorders>
          <w:top w:val="single" w:sz="4" w:space="0" w:color="0067B1"/>
          <w:left w:val="single" w:sz="4" w:space="0" w:color="0067B1"/>
          <w:bottom w:val="single" w:sz="4" w:space="0" w:color="0067B1"/>
          <w:right w:val="single" w:sz="4" w:space="0" w:color="0067B1"/>
          <w:insideH w:val="single" w:sz="4" w:space="0" w:color="0067B1"/>
          <w:insideV w:val="single" w:sz="4" w:space="0" w:color="0067B1"/>
        </w:tblBorders>
        <w:tblLook w:val="04A0" w:firstRow="1" w:lastRow="0" w:firstColumn="1" w:lastColumn="0" w:noHBand="0" w:noVBand="1"/>
        <w:tblCaption w:val="Highlights and updates on key program strategies from the annual operational plan"/>
        <w:tblDescription w:val="Strategy, highlights and updates&#10;Planning for a Growing City&#10;Neighbourhood Planning&#10;• Provided draft Eight Mile Plains gateway and draft Sandgate district&#10;neighbourhood plans to the Queensland Government for approval.&#10;• Updated draft Bridgeman Downs neighbourhood plan following&#10;comments received during the public consultation period.&#10;• Preparing draft Nathan, Salisbury and Moorooka neighbourhood&#10;plans.&#10;South East Queensland Regional Plan Review&#10;• Review of the South East Queensland Regional Plan by the&#10;Queensland Government to commence in early 2023.Design Brisbane&#10;Botanica&#10;• Renewed the contract with the Museum of Brisbane for the&#10;Botanica 2023 curation, production and delivery.&#10;• Completed artist public expression of interest.&#10;Village Precinct Projects&#10;• Completed Stage Two engagement for Boondall, Milton and Upper&#10;Mount Gruh-vat Village Precinct Projects.&#10;• Completed Stage One engagement for the Rosalie Village Precinct&#10;Project.&#10;• Completed Cooparoo Village Precinct Project in early&#10;October 2022. Tarlina Lane Festival was delivered in&#10;October 2022.&#10;• Completed Camp Hill Village Precinct Project in early&#10;October 2022.&#10;The Art Platform, Mount Coottha Botanic Gardens&#10;• Completed the installation of The Art Platform artwork. The&#10;commission was awarded to a prestigious Aboriginal artist.&#10;Outdoor Gallery (ODG)&#10;• Completed the Indigenous Art Program exhibition.&#10;• Launched new exhibition &lt;play/ground&gt;.&#10;Digital Art Collection&#10;• Launched the latest commission series in combination with ODG&#10;exhibition and the Inner Sparks engagement program.&#10;Public Art Collection&#10;• Commenced major restoration on the artwork ‘Poinsettia Riverfire’.&#10;• Restored and reinstalled the figurative sculpture of Steele Rudd&#10;located at the Speakers Corner, King George Square.&#10;Artforce Brisbane&#10;• Delivered 21 traffic signal box and two pad-mount transformer&#10;artworks.&#10;Creative Lighting&#10;• Progressing the design of the new creative lighting project for&#10;Nundah Village.&#10;Development regulation&#10;Backflow Prevention Device Tagging •Continued user acceptance testing for an automated form in preparation for release in October 2022.Future Development Services Enablement Project •Continued the delivery of the pilot solution as planned. The project is now advanced in its pilot design and development stage with adjusted pilot schedule and scope."/>
      </w:tblPr>
      <w:tblGrid>
        <w:gridCol w:w="2405"/>
        <w:gridCol w:w="7229"/>
      </w:tblGrid>
      <w:tr w:rsidR="00031618" w:rsidRPr="00ED3210" w14:paraId="4C64D2FE" w14:textId="77777777" w:rsidTr="00723B7B">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shd w:val="clear" w:color="auto" w:fill="0067B1"/>
          </w:tcPr>
          <w:p w14:paraId="51D258BE" w14:textId="77777777" w:rsidR="00031618" w:rsidRPr="00A71510" w:rsidRDefault="00031618" w:rsidP="00EE10D2">
            <w:pPr>
              <w:rPr>
                <w:color w:val="0070C0"/>
              </w:rPr>
            </w:pPr>
            <w:r w:rsidRPr="00A71510">
              <w:t>Strategy</w:t>
            </w:r>
          </w:p>
        </w:tc>
        <w:tc>
          <w:tcPr>
            <w:tcW w:w="7229" w:type="dxa"/>
            <w:shd w:val="clear" w:color="auto" w:fill="0067B1"/>
          </w:tcPr>
          <w:p w14:paraId="0DA34A44" w14:textId="77777777" w:rsidR="00031618" w:rsidRPr="00ED3210" w:rsidRDefault="00031618" w:rsidP="00EE10D2">
            <w:pPr>
              <w:cnfStyle w:val="100000000000" w:firstRow="1" w:lastRow="0" w:firstColumn="0" w:lastColumn="0" w:oddVBand="0" w:evenVBand="0" w:oddHBand="0" w:evenHBand="0" w:firstRowFirstColumn="0" w:firstRowLastColumn="0" w:lastRowFirstColumn="0" w:lastRowLastColumn="0"/>
              <w:rPr>
                <w:color w:val="auto"/>
              </w:rPr>
            </w:pPr>
            <w:r>
              <w:t>Highlights and updates</w:t>
            </w:r>
          </w:p>
        </w:tc>
      </w:tr>
      <w:tr w:rsidR="000E107A" w:rsidRPr="00ED3210" w14:paraId="57721D26" w14:textId="77777777" w:rsidTr="00723B7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77DFE3C5" w14:textId="77777777" w:rsidR="000E107A" w:rsidRDefault="000E107A" w:rsidP="00EE10D2">
            <w:pPr>
              <w:rPr>
                <w:rFonts w:eastAsia="Arial"/>
              </w:rPr>
            </w:pPr>
            <w:r w:rsidRPr="2D4DF21B">
              <w:rPr>
                <w:rFonts w:eastAsia="Arial"/>
              </w:rPr>
              <w:t>Planning for a Growing City</w:t>
            </w:r>
          </w:p>
          <w:p w14:paraId="52FF2E44" w14:textId="6331EDEE" w:rsidR="000E107A" w:rsidRPr="00D23CD1" w:rsidRDefault="000E107A" w:rsidP="00EE10D2">
            <w:pPr>
              <w:rPr>
                <w:b w:val="0"/>
                <w:noProof/>
                <w:snapToGrid w:val="0"/>
                <w:sz w:val="20"/>
                <w:lang w:val="en-US"/>
              </w:rPr>
            </w:pPr>
            <w:r w:rsidRPr="2D4DF21B">
              <w:rPr>
                <w:rFonts w:eastAsia="Arial"/>
              </w:rPr>
              <w:t xml:space="preserve"> </w:t>
            </w:r>
          </w:p>
        </w:tc>
        <w:tc>
          <w:tcPr>
            <w:tcW w:w="7229" w:type="dxa"/>
            <w:tcBorders>
              <w:top w:val="none" w:sz="0" w:space="0" w:color="auto"/>
              <w:bottom w:val="none" w:sz="0" w:space="0" w:color="auto"/>
            </w:tcBorders>
          </w:tcPr>
          <w:p w14:paraId="5FFB7F8E" w14:textId="77777777" w:rsidR="00C70651" w:rsidRPr="00C70651" w:rsidRDefault="00C70651" w:rsidP="00EE10D2">
            <w:pPr>
              <w:cnfStyle w:val="000000100000" w:firstRow="0" w:lastRow="0" w:firstColumn="0" w:lastColumn="0" w:oddVBand="0" w:evenVBand="0" w:oddHBand="1" w:evenHBand="0" w:firstRowFirstColumn="0" w:firstRowLastColumn="0" w:lastRowFirstColumn="0" w:lastRowLastColumn="0"/>
              <w:rPr>
                <w:rFonts w:eastAsia="Arial"/>
                <w:i/>
                <w:iCs/>
              </w:rPr>
            </w:pPr>
            <w:r w:rsidRPr="00C70651">
              <w:rPr>
                <w:rFonts w:eastAsia="Arial"/>
                <w:i/>
                <w:iCs/>
              </w:rPr>
              <w:t>Neighbourhood Planning</w:t>
            </w:r>
          </w:p>
          <w:p w14:paraId="4E59506A" w14:textId="77777777" w:rsidR="00C70651" w:rsidRPr="00C70651" w:rsidRDefault="00C7065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C70651">
              <w:rPr>
                <w:rFonts w:eastAsiaTheme="minorEastAsia"/>
              </w:rPr>
              <w:t>Provided draft Eight Mile Plains gateway and draft Sandgate district neighbourhood plans to the Queensland Government for approval.</w:t>
            </w:r>
          </w:p>
          <w:p w14:paraId="536EC694" w14:textId="77777777" w:rsidR="00C70651" w:rsidRPr="00C70651" w:rsidRDefault="00C7065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C70651">
              <w:rPr>
                <w:rFonts w:eastAsiaTheme="minorEastAsia"/>
              </w:rPr>
              <w:t>Updated draft Bridgeman Downs neighbourhood plan following comments received during the public consultation period.</w:t>
            </w:r>
          </w:p>
          <w:p w14:paraId="5BC4EDF6" w14:textId="77777777" w:rsidR="00C70651" w:rsidRPr="00C70651" w:rsidRDefault="00C7065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C70651">
              <w:rPr>
                <w:rFonts w:eastAsiaTheme="minorEastAsia"/>
              </w:rPr>
              <w:t xml:space="preserve">Preparing draft Nathan, Salisbury and Moorooka neighbourhood plans.  </w:t>
            </w:r>
          </w:p>
          <w:p w14:paraId="2CE9DA2C" w14:textId="77777777" w:rsidR="00C70651" w:rsidRPr="00C70651" w:rsidRDefault="00C70651" w:rsidP="00EE10D2">
            <w:pPr>
              <w:cnfStyle w:val="000000100000" w:firstRow="0" w:lastRow="0" w:firstColumn="0" w:lastColumn="0" w:oddVBand="0" w:evenVBand="0" w:oddHBand="1" w:evenHBand="0" w:firstRowFirstColumn="0" w:firstRowLastColumn="0" w:lastRowFirstColumn="0" w:lastRowLastColumn="0"/>
              <w:rPr>
                <w:rFonts w:eastAsia="Arial"/>
                <w:i/>
                <w:iCs/>
              </w:rPr>
            </w:pPr>
            <w:r w:rsidRPr="00C70651">
              <w:rPr>
                <w:rFonts w:eastAsia="Arial"/>
                <w:i/>
                <w:iCs/>
              </w:rPr>
              <w:t>South East Queensland Regional Plan Review</w:t>
            </w:r>
          </w:p>
          <w:p w14:paraId="2263A1BA" w14:textId="77777777" w:rsidR="00C70651" w:rsidRPr="00C70651" w:rsidRDefault="00C7065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C70651">
              <w:rPr>
                <w:rFonts w:eastAsiaTheme="minorEastAsia"/>
              </w:rPr>
              <w:lastRenderedPageBreak/>
              <w:t>Review of the South East Queensland Regional Plan by the Queensland Government to commence in early 2023.</w:t>
            </w:r>
          </w:p>
          <w:p w14:paraId="55C3E697" w14:textId="22D710AA" w:rsidR="005738B1" w:rsidRPr="000E107A" w:rsidRDefault="005738B1" w:rsidP="00EE10D2">
            <w:pPr>
              <w:cnfStyle w:val="000000100000" w:firstRow="0" w:lastRow="0" w:firstColumn="0" w:lastColumn="0" w:oddVBand="0" w:evenVBand="0" w:oddHBand="1" w:evenHBand="0" w:firstRowFirstColumn="0" w:firstRowLastColumn="0" w:lastRowFirstColumn="0" w:lastRowLastColumn="0"/>
              <w:rPr>
                <w:rFonts w:eastAsia="Arial"/>
              </w:rPr>
            </w:pPr>
          </w:p>
        </w:tc>
      </w:tr>
      <w:tr w:rsidR="000E107A" w:rsidRPr="00ED3210" w14:paraId="330B7B41" w14:textId="77777777" w:rsidTr="00723B7B">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4FD52308" w14:textId="1AD6025F" w:rsidR="000E107A" w:rsidRPr="00D23CD1" w:rsidRDefault="000E107A" w:rsidP="00EE10D2">
            <w:pPr>
              <w:rPr>
                <w:b w:val="0"/>
                <w:noProof/>
                <w:snapToGrid w:val="0"/>
                <w:sz w:val="20"/>
                <w:lang w:val="en-US"/>
              </w:rPr>
            </w:pPr>
            <w:r w:rsidRPr="2D4DF21B">
              <w:rPr>
                <w:rFonts w:eastAsia="Arial"/>
              </w:rPr>
              <w:lastRenderedPageBreak/>
              <w:t>Design Brisbane</w:t>
            </w:r>
          </w:p>
        </w:tc>
        <w:tc>
          <w:tcPr>
            <w:tcW w:w="7229" w:type="dxa"/>
          </w:tcPr>
          <w:p w14:paraId="37E3191B" w14:textId="77777777"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Arial"/>
                <w:i/>
                <w:iCs/>
              </w:rPr>
            </w:pPr>
            <w:r w:rsidRPr="00C70651">
              <w:rPr>
                <w:rFonts w:eastAsia="Arial"/>
                <w:i/>
                <w:iCs/>
              </w:rPr>
              <w:t>Botanica</w:t>
            </w:r>
          </w:p>
          <w:p w14:paraId="1E47036B" w14:textId="30B83B29"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Renewed the contract with the Museum of Brisbane for the Botanica 2023 curation, production and delivery.</w:t>
            </w:r>
          </w:p>
          <w:p w14:paraId="255AD4D9" w14:textId="0AAB25F9"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Completed artist public expression of interest.</w:t>
            </w:r>
          </w:p>
          <w:p w14:paraId="28A44C6B" w14:textId="77777777"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Arial"/>
                <w:i/>
                <w:iCs/>
              </w:rPr>
            </w:pPr>
            <w:r w:rsidRPr="00C70651">
              <w:rPr>
                <w:rFonts w:eastAsia="Arial"/>
                <w:i/>
                <w:iCs/>
              </w:rPr>
              <w:t xml:space="preserve">Village Precinct Projects </w:t>
            </w:r>
          </w:p>
          <w:p w14:paraId="42147891" w14:textId="4113E8C0"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 xml:space="preserve">Completed Stage Two engagement for Boondall, Milton and Upper Mt Gravatt Village Precinct Projects. </w:t>
            </w:r>
          </w:p>
          <w:p w14:paraId="26622865" w14:textId="0B634AE8"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Completed Stage One engagement for the Rosalie Village Precinct Project.</w:t>
            </w:r>
          </w:p>
          <w:p w14:paraId="1EB47CBE" w14:textId="157C43A5" w:rsidR="00C70651" w:rsidRPr="005C6CB3"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Completed Coorparoo Village Precinct Project in early October</w:t>
            </w:r>
            <w:r w:rsidR="005C6CB3">
              <w:rPr>
                <w:rFonts w:eastAsiaTheme="minorEastAsia"/>
              </w:rPr>
              <w:t> </w:t>
            </w:r>
            <w:r w:rsidRPr="00C70651">
              <w:rPr>
                <w:rFonts w:eastAsiaTheme="minorEastAsia"/>
              </w:rPr>
              <w:t xml:space="preserve">2022. </w:t>
            </w:r>
            <w:proofErr w:type="spellStart"/>
            <w:r w:rsidRPr="00C70651">
              <w:rPr>
                <w:rFonts w:eastAsiaTheme="minorEastAsia"/>
              </w:rPr>
              <w:t>Tarlina</w:t>
            </w:r>
            <w:proofErr w:type="spellEnd"/>
            <w:r w:rsidRPr="00C70651">
              <w:rPr>
                <w:rFonts w:eastAsiaTheme="minorEastAsia"/>
              </w:rPr>
              <w:t xml:space="preserve"> Lane Festival was delivered in </w:t>
            </w:r>
            <w:r w:rsidRPr="005C6CB3">
              <w:rPr>
                <w:rFonts w:eastAsiaTheme="minorEastAsia"/>
              </w:rPr>
              <w:t>October</w:t>
            </w:r>
            <w:r w:rsidR="005C6CB3">
              <w:rPr>
                <w:rFonts w:eastAsiaTheme="minorEastAsia"/>
              </w:rPr>
              <w:t> </w:t>
            </w:r>
            <w:r w:rsidRPr="005C6CB3">
              <w:rPr>
                <w:rFonts w:eastAsiaTheme="minorEastAsia"/>
              </w:rPr>
              <w:t>2022.</w:t>
            </w:r>
          </w:p>
          <w:p w14:paraId="0D223488" w14:textId="1E3036F4"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Completed Camp Hill Village Precinct Project in early October</w:t>
            </w:r>
            <w:r w:rsidR="005C6CB3">
              <w:rPr>
                <w:rFonts w:eastAsiaTheme="minorEastAsia"/>
              </w:rPr>
              <w:t> </w:t>
            </w:r>
            <w:r w:rsidRPr="00C70651">
              <w:rPr>
                <w:rFonts w:eastAsiaTheme="minorEastAsia"/>
              </w:rPr>
              <w:t>2022.</w:t>
            </w:r>
          </w:p>
          <w:p w14:paraId="7445FF06" w14:textId="77777777"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Arial"/>
                <w:i/>
                <w:iCs/>
              </w:rPr>
            </w:pPr>
            <w:r w:rsidRPr="00C70651">
              <w:rPr>
                <w:rFonts w:eastAsia="Arial"/>
                <w:i/>
                <w:iCs/>
              </w:rPr>
              <w:t>The Art Platform, Mount Coot-</w:t>
            </w:r>
            <w:proofErr w:type="spellStart"/>
            <w:r w:rsidRPr="00C70651">
              <w:rPr>
                <w:rFonts w:eastAsia="Arial"/>
                <w:i/>
                <w:iCs/>
              </w:rPr>
              <w:t>tha</w:t>
            </w:r>
            <w:proofErr w:type="spellEnd"/>
            <w:r w:rsidRPr="00C70651">
              <w:rPr>
                <w:rFonts w:eastAsia="Arial"/>
                <w:i/>
                <w:iCs/>
              </w:rPr>
              <w:t xml:space="preserve"> Botanic Gardens </w:t>
            </w:r>
          </w:p>
          <w:p w14:paraId="3C557D2B" w14:textId="10F96730"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Completed the installation of The Art Platform artwork. The</w:t>
            </w:r>
            <w:r w:rsidR="005C6CB3">
              <w:rPr>
                <w:rFonts w:eastAsiaTheme="minorEastAsia"/>
              </w:rPr>
              <w:t xml:space="preserve"> </w:t>
            </w:r>
            <w:r w:rsidRPr="00C70651">
              <w:rPr>
                <w:rFonts w:eastAsiaTheme="minorEastAsia"/>
              </w:rPr>
              <w:t>commission was awarded to a prestigious Aboriginal artist.</w:t>
            </w:r>
          </w:p>
          <w:p w14:paraId="36AFBB5B" w14:textId="77777777"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Arial"/>
                <w:i/>
                <w:iCs/>
              </w:rPr>
            </w:pPr>
            <w:r w:rsidRPr="00C70651">
              <w:rPr>
                <w:rFonts w:eastAsia="Arial"/>
                <w:i/>
                <w:iCs/>
              </w:rPr>
              <w:t>Outdoor Gallery (ODG)</w:t>
            </w:r>
          </w:p>
          <w:p w14:paraId="2146C490" w14:textId="04DBE536" w:rsidR="00BD2990"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Completed the Indigenous Art Program exhibition.</w:t>
            </w:r>
          </w:p>
          <w:p w14:paraId="27F24A63" w14:textId="169240B9"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 xml:space="preserve">Launched new exhibition </w:t>
            </w:r>
            <w:r w:rsidRPr="001B29C7">
              <w:rPr>
                <w:rFonts w:eastAsiaTheme="minorEastAsia"/>
                <w:i/>
                <w:iCs/>
              </w:rPr>
              <w:t>&lt;play/ground&gt;</w:t>
            </w:r>
            <w:r w:rsidRPr="00C70651">
              <w:rPr>
                <w:rFonts w:eastAsiaTheme="minorEastAsia"/>
              </w:rPr>
              <w:t xml:space="preserve">. </w:t>
            </w:r>
          </w:p>
          <w:p w14:paraId="151C7D20" w14:textId="77777777"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Arial"/>
                <w:i/>
                <w:iCs/>
              </w:rPr>
            </w:pPr>
            <w:r w:rsidRPr="00C70651">
              <w:rPr>
                <w:rFonts w:eastAsia="Arial"/>
                <w:i/>
                <w:iCs/>
              </w:rPr>
              <w:t>Digital Art Collection</w:t>
            </w:r>
          </w:p>
          <w:p w14:paraId="00F90135" w14:textId="612B1CF8"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Launched the latest commission series in combination with ODG exhibition and the Inner Sparks engagement program.</w:t>
            </w:r>
          </w:p>
          <w:p w14:paraId="6BAFF3CA" w14:textId="77777777"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Arial"/>
                <w:i/>
                <w:iCs/>
              </w:rPr>
            </w:pPr>
            <w:r w:rsidRPr="00C70651">
              <w:rPr>
                <w:rFonts w:eastAsia="Arial"/>
                <w:i/>
                <w:iCs/>
              </w:rPr>
              <w:t xml:space="preserve">Public Art Collection </w:t>
            </w:r>
          </w:p>
          <w:p w14:paraId="58288CA9" w14:textId="0B54F94A"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Commenced major restoration on the artwork ‘Poinsettia</w:t>
            </w:r>
            <w:r w:rsidR="005E3306">
              <w:rPr>
                <w:rFonts w:eastAsiaTheme="minorEastAsia"/>
              </w:rPr>
              <w:t xml:space="preserve"> </w:t>
            </w:r>
            <w:proofErr w:type="spellStart"/>
            <w:r w:rsidRPr="00C70651">
              <w:rPr>
                <w:rFonts w:eastAsiaTheme="minorEastAsia"/>
              </w:rPr>
              <w:t>Riverfire</w:t>
            </w:r>
            <w:proofErr w:type="spellEnd"/>
            <w:r w:rsidRPr="00C70651">
              <w:rPr>
                <w:rFonts w:eastAsiaTheme="minorEastAsia"/>
              </w:rPr>
              <w:t>’.</w:t>
            </w:r>
          </w:p>
          <w:p w14:paraId="26A91393" w14:textId="4B79E91F"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Restored and reinstalled the figurative sculpture of Steele Rudd located at the Speakers Corner, King George Square.</w:t>
            </w:r>
          </w:p>
          <w:p w14:paraId="3F60C29F" w14:textId="77777777"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Arial"/>
                <w:i/>
                <w:iCs/>
              </w:rPr>
            </w:pPr>
            <w:proofErr w:type="spellStart"/>
            <w:r w:rsidRPr="00C70651">
              <w:rPr>
                <w:rFonts w:eastAsia="Arial"/>
                <w:i/>
                <w:iCs/>
              </w:rPr>
              <w:t>Artforce</w:t>
            </w:r>
            <w:proofErr w:type="spellEnd"/>
            <w:r w:rsidRPr="00C70651">
              <w:rPr>
                <w:rFonts w:eastAsia="Arial"/>
                <w:i/>
                <w:iCs/>
              </w:rPr>
              <w:t xml:space="preserve"> Brisbane</w:t>
            </w:r>
          </w:p>
          <w:p w14:paraId="7E172DE4" w14:textId="1B2F473A"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C70651">
              <w:rPr>
                <w:rFonts w:eastAsiaTheme="minorEastAsia"/>
              </w:rPr>
              <w:t>Delivered 21 traffic signal box and two pad-mount transformer artworks.</w:t>
            </w:r>
          </w:p>
          <w:p w14:paraId="5A4885C1" w14:textId="77777777" w:rsidR="00C70651" w:rsidRPr="00C70651" w:rsidRDefault="00C70651" w:rsidP="00EE10D2">
            <w:pPr>
              <w:cnfStyle w:val="000000000000" w:firstRow="0" w:lastRow="0" w:firstColumn="0" w:lastColumn="0" w:oddVBand="0" w:evenVBand="0" w:oddHBand="0" w:evenHBand="0" w:firstRowFirstColumn="0" w:firstRowLastColumn="0" w:lastRowFirstColumn="0" w:lastRowLastColumn="0"/>
              <w:rPr>
                <w:rFonts w:eastAsia="Arial"/>
                <w:i/>
                <w:iCs/>
              </w:rPr>
            </w:pPr>
            <w:r w:rsidRPr="00C70651">
              <w:rPr>
                <w:rFonts w:eastAsia="Arial"/>
                <w:i/>
                <w:iCs/>
              </w:rPr>
              <w:t>Creative Lighting</w:t>
            </w:r>
          </w:p>
          <w:p w14:paraId="1165D69E" w14:textId="77777777" w:rsidR="00C70651" w:rsidRPr="00B51CBA" w:rsidRDefault="00C70651" w:rsidP="00EE10D2">
            <w:pPr>
              <w:cnfStyle w:val="000000000000" w:firstRow="0" w:lastRow="0" w:firstColumn="0" w:lastColumn="0" w:oddVBand="0" w:evenVBand="0" w:oddHBand="0" w:evenHBand="0" w:firstRowFirstColumn="0" w:firstRowLastColumn="0" w:lastRowFirstColumn="0" w:lastRowLastColumn="0"/>
              <w:rPr>
                <w:bCs/>
                <w:noProof/>
                <w:snapToGrid w:val="0"/>
                <w:szCs w:val="24"/>
                <w:lang w:val="en-US"/>
              </w:rPr>
            </w:pPr>
            <w:r w:rsidRPr="00C70651">
              <w:rPr>
                <w:rFonts w:eastAsiaTheme="minorEastAsia"/>
              </w:rPr>
              <w:t>Progressing the design of the new creative lighting project for Nundah Village</w:t>
            </w:r>
            <w:r w:rsidR="00B51CBA">
              <w:rPr>
                <w:rFonts w:eastAsiaTheme="minorEastAsia"/>
              </w:rPr>
              <w:t>.</w:t>
            </w:r>
          </w:p>
          <w:p w14:paraId="1DB13A04" w14:textId="50C42FAD" w:rsidR="00B51CBA" w:rsidRPr="005738B1" w:rsidRDefault="00B51CBA" w:rsidP="00EE10D2">
            <w:pPr>
              <w:cnfStyle w:val="000000000000" w:firstRow="0" w:lastRow="0" w:firstColumn="0" w:lastColumn="0" w:oddVBand="0" w:evenVBand="0" w:oddHBand="0" w:evenHBand="0" w:firstRowFirstColumn="0" w:firstRowLastColumn="0" w:lastRowFirstColumn="0" w:lastRowLastColumn="0"/>
              <w:rPr>
                <w:bCs/>
                <w:noProof/>
                <w:snapToGrid w:val="0"/>
                <w:szCs w:val="24"/>
                <w:lang w:val="en-US"/>
              </w:rPr>
            </w:pPr>
          </w:p>
        </w:tc>
      </w:tr>
      <w:tr w:rsidR="000E107A" w:rsidRPr="00ED3210" w14:paraId="72ADA53C" w14:textId="77777777" w:rsidTr="00723B7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7960DA1A" w14:textId="77777777" w:rsidR="000E107A" w:rsidRDefault="000E107A" w:rsidP="00EE10D2">
            <w:pPr>
              <w:rPr>
                <w:rFonts w:eastAsia="Arial"/>
                <w:b w:val="0"/>
                <w:color w:val="000000" w:themeColor="text1"/>
              </w:rPr>
            </w:pPr>
            <w:r w:rsidRPr="2D4DF21B">
              <w:rPr>
                <w:rFonts w:eastAsia="Arial"/>
                <w:color w:val="000000" w:themeColor="text1"/>
              </w:rPr>
              <w:t>Development Regulation</w:t>
            </w:r>
          </w:p>
          <w:p w14:paraId="5259B2F1" w14:textId="77777777" w:rsidR="000E107A" w:rsidRPr="00D23CD1" w:rsidRDefault="000E107A" w:rsidP="00EE10D2">
            <w:pPr>
              <w:rPr>
                <w:b w:val="0"/>
                <w:noProof/>
                <w:snapToGrid w:val="0"/>
                <w:sz w:val="20"/>
                <w:lang w:val="en-US"/>
              </w:rPr>
            </w:pPr>
          </w:p>
        </w:tc>
        <w:tc>
          <w:tcPr>
            <w:tcW w:w="7229" w:type="dxa"/>
            <w:tcBorders>
              <w:top w:val="none" w:sz="0" w:space="0" w:color="auto"/>
              <w:bottom w:val="none" w:sz="0" w:space="0" w:color="auto"/>
            </w:tcBorders>
          </w:tcPr>
          <w:p w14:paraId="7699D512" w14:textId="77777777" w:rsidR="00C70651" w:rsidRPr="00B51CBA" w:rsidRDefault="00C70651" w:rsidP="00EE10D2">
            <w:pPr>
              <w:cnfStyle w:val="000000100000" w:firstRow="0" w:lastRow="0" w:firstColumn="0" w:lastColumn="0" w:oddVBand="0" w:evenVBand="0" w:oddHBand="1" w:evenHBand="0" w:firstRowFirstColumn="0" w:firstRowLastColumn="0" w:lastRowFirstColumn="0" w:lastRowLastColumn="0"/>
              <w:rPr>
                <w:rFonts w:eastAsia="Arial"/>
                <w:i/>
                <w:iCs/>
              </w:rPr>
            </w:pPr>
            <w:r w:rsidRPr="00B51CBA">
              <w:rPr>
                <w:rFonts w:eastAsia="Arial"/>
                <w:i/>
                <w:iCs/>
              </w:rPr>
              <w:t>Backflow Prevention Device Tagging</w:t>
            </w:r>
          </w:p>
          <w:p w14:paraId="069003B6" w14:textId="12FEF574" w:rsidR="00C70651" w:rsidRPr="00B51CBA" w:rsidRDefault="00C7065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B51CBA">
              <w:rPr>
                <w:rFonts w:eastAsiaTheme="minorEastAsia"/>
              </w:rPr>
              <w:t>Continued user acceptance testing for an automated form in preparation for release in October 2022.</w:t>
            </w:r>
          </w:p>
          <w:p w14:paraId="5DEB0D72" w14:textId="77777777" w:rsidR="00C70651" w:rsidRPr="00B51CBA" w:rsidRDefault="00C70651" w:rsidP="00EE10D2">
            <w:pPr>
              <w:cnfStyle w:val="000000100000" w:firstRow="0" w:lastRow="0" w:firstColumn="0" w:lastColumn="0" w:oddVBand="0" w:evenVBand="0" w:oddHBand="1" w:evenHBand="0" w:firstRowFirstColumn="0" w:firstRowLastColumn="0" w:lastRowFirstColumn="0" w:lastRowLastColumn="0"/>
              <w:rPr>
                <w:rFonts w:eastAsia="Arial"/>
                <w:i/>
                <w:iCs/>
              </w:rPr>
            </w:pPr>
            <w:r w:rsidRPr="00B51CBA">
              <w:rPr>
                <w:rFonts w:eastAsia="Arial"/>
                <w:i/>
                <w:iCs/>
              </w:rPr>
              <w:t>Future Development Services Enablement Project</w:t>
            </w:r>
          </w:p>
          <w:p w14:paraId="5A4FE137" w14:textId="77777777" w:rsidR="005738B1" w:rsidRPr="00B51CBA" w:rsidRDefault="00C70651" w:rsidP="00EE10D2">
            <w:pPr>
              <w:cnfStyle w:val="000000100000" w:firstRow="0" w:lastRow="0" w:firstColumn="0" w:lastColumn="0" w:oddVBand="0" w:evenVBand="0" w:oddHBand="1" w:evenHBand="0" w:firstRowFirstColumn="0" w:firstRowLastColumn="0" w:lastRowFirstColumn="0" w:lastRowLastColumn="0"/>
              <w:rPr>
                <w:bCs/>
                <w:noProof/>
                <w:snapToGrid w:val="0"/>
                <w:sz w:val="20"/>
                <w:lang w:val="en-US"/>
              </w:rPr>
            </w:pPr>
            <w:r w:rsidRPr="00B51CBA">
              <w:rPr>
                <w:rFonts w:eastAsiaTheme="minorEastAsia"/>
              </w:rPr>
              <w:t>Continued the delivery of the pilot solution as planned. The project is now advanced in its pilot design and development stage with adjusted pilot schedule and scope.</w:t>
            </w:r>
          </w:p>
          <w:p w14:paraId="5632B745" w14:textId="50D018AF" w:rsidR="00B51CBA" w:rsidRPr="00B51CBA" w:rsidRDefault="00B51CBA" w:rsidP="00EE10D2">
            <w:pPr>
              <w:cnfStyle w:val="000000100000" w:firstRow="0" w:lastRow="0" w:firstColumn="0" w:lastColumn="0" w:oddVBand="0" w:evenVBand="0" w:oddHBand="1" w:evenHBand="0" w:firstRowFirstColumn="0" w:firstRowLastColumn="0" w:lastRowFirstColumn="0" w:lastRowLastColumn="0"/>
              <w:rPr>
                <w:bCs/>
                <w:noProof/>
                <w:snapToGrid w:val="0"/>
                <w:szCs w:val="24"/>
                <w:lang w:val="en-US"/>
              </w:rPr>
            </w:pPr>
          </w:p>
        </w:tc>
      </w:tr>
    </w:tbl>
    <w:p w14:paraId="0CB90F78" w14:textId="3E1536AE" w:rsidR="00516011" w:rsidRDefault="00516011" w:rsidP="00C707C2">
      <w:pPr>
        <w:sectPr w:rsidR="00516011" w:rsidSect="0013507F">
          <w:footerReference w:type="default" r:id="rId35"/>
          <w:pgSz w:w="11900" w:h="16840"/>
          <w:pgMar w:top="1440" w:right="1134" w:bottom="1440" w:left="1134" w:header="709" w:footer="709" w:gutter="0"/>
          <w:cols w:space="708"/>
          <w:docGrid w:linePitch="360"/>
        </w:sectPr>
      </w:pPr>
    </w:p>
    <w:p w14:paraId="6B49095A" w14:textId="32932B96" w:rsidR="00BE34DF" w:rsidRPr="005738B1" w:rsidRDefault="00BE34DF" w:rsidP="0057257F">
      <w:pPr>
        <w:pStyle w:val="Heading3"/>
        <w:rPr>
          <w:rFonts w:cs="Arial"/>
          <w:bCs/>
          <w:szCs w:val="28"/>
        </w:rPr>
      </w:pPr>
      <w:bookmarkStart w:id="28" w:name="_Toc127436758"/>
      <w:r w:rsidRPr="005738B1">
        <w:lastRenderedPageBreak/>
        <w:t>Program 5 – Lifestyle and Community Services</w:t>
      </w:r>
      <w:bookmarkEnd w:id="28"/>
    </w:p>
    <w:p w14:paraId="5C3C2AA8" w14:textId="10DB794C" w:rsidR="002F143B" w:rsidRDefault="002F143B" w:rsidP="00BE34DF">
      <w:pPr>
        <w:jc w:val="center"/>
        <w:rPr>
          <w:noProof/>
        </w:rPr>
      </w:pPr>
    </w:p>
    <w:p w14:paraId="4EC903D8" w14:textId="7E45C790" w:rsidR="005738B1" w:rsidRDefault="004D36CF" w:rsidP="00BE34DF">
      <w:pPr>
        <w:jc w:val="center"/>
        <w:rPr>
          <w:noProof/>
        </w:rPr>
      </w:pPr>
      <w:r>
        <w:rPr>
          <w:noProof/>
        </w:rPr>
        <w:drawing>
          <wp:inline distT="0" distB="0" distL="0" distR="0" wp14:anchorId="5605D28D" wp14:editId="3BD6B13A">
            <wp:extent cx="6116320" cy="1686560"/>
            <wp:effectExtent l="0" t="0" r="0" b="8890"/>
            <wp:docPr id="20" name="Picture 6" descr="This graph shows Program 5 – Lifestyle and Community Services revenue, operating expenses and capital expenditure for the period ended September 2022, against the approved annual budget.&#10;&#10;Revenue&#10;$9.0 million (actual)&#10;$67.6 million (approved annual budget)&#10;&#10;Operating expenses&#10;$54.0 million (actual)&#10;$239.3 million (approved annual budget)&#10;&#10;Capital expenditure&#10;$4.4 million (actual)&#10;$79.8 million (approved annual budget)&#10;">
              <a:extLst xmlns:a="http://schemas.openxmlformats.org/drawingml/2006/main">
                <a:ext uri="{FF2B5EF4-FFF2-40B4-BE49-F238E27FC236}">
                  <a16:creationId xmlns:a16="http://schemas.microsoft.com/office/drawing/2014/main" id="{2C95A204-3ACE-4EC9-A3F4-44E9A1AC94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This graph shows Program 5 – Lifestyle and Community Services revenue, operating expenses and capital expenditure for the period ended September 2022, against the approved annual budget.&#10;&#10;Revenue&#10;$9.0 million (actual)&#10;$67.6 million (approved annual budget)&#10;&#10;Operating expenses&#10;$54.0 million (actual)&#10;$239.3 million (approved annual budget)&#10;&#10;Capital expenditure&#10;$4.4 million (actual)&#10;$79.8 million (approved annual budget)&#10;">
                      <a:extLst>
                        <a:ext uri="{FF2B5EF4-FFF2-40B4-BE49-F238E27FC236}">
                          <a16:creationId xmlns:a16="http://schemas.microsoft.com/office/drawing/2014/main" id="{2C95A204-3ACE-4EC9-A3F4-44E9A1AC94AD}"/>
                        </a:ext>
                      </a:extLst>
                    </pic:cNvPr>
                    <pic:cNvPicPr>
                      <a:picLocks noChangeAspect="1"/>
                    </pic:cNvPicPr>
                  </pic:nvPicPr>
                  <pic:blipFill>
                    <a:blip r:embed="rId36"/>
                    <a:stretch>
                      <a:fillRect/>
                    </a:stretch>
                  </pic:blipFill>
                  <pic:spPr>
                    <a:xfrm>
                      <a:off x="0" y="0"/>
                      <a:ext cx="6116320" cy="1686560"/>
                    </a:xfrm>
                    <a:prstGeom prst="rect">
                      <a:avLst/>
                    </a:prstGeom>
                  </pic:spPr>
                </pic:pic>
              </a:graphicData>
            </a:graphic>
          </wp:inline>
        </w:drawing>
      </w:r>
    </w:p>
    <w:p w14:paraId="074F8436" w14:textId="4DA0BA78" w:rsidR="00BD7EB2" w:rsidRDefault="00BD7EB2" w:rsidP="00BE34DF">
      <w:pPr>
        <w:jc w:val="center"/>
        <w:rPr>
          <w:noProof/>
        </w:rPr>
      </w:pPr>
    </w:p>
    <w:p w14:paraId="23429E43" w14:textId="3C98B900" w:rsidR="00BE34DF" w:rsidRDefault="00BE34DF" w:rsidP="00EE10D2">
      <w:pPr>
        <w:pStyle w:val="Heading4black"/>
      </w:pPr>
      <w:r w:rsidRPr="005738B1">
        <w:t>Program financial results</w:t>
      </w:r>
    </w:p>
    <w:p w14:paraId="49FDFBBB" w14:textId="195A1FEA" w:rsidR="005738B1" w:rsidRDefault="005738B1" w:rsidP="00EE10D2"/>
    <w:p w14:paraId="31870BC1" w14:textId="7347A911" w:rsidR="007B1EEB" w:rsidRDefault="007B1EEB" w:rsidP="00EE10D2">
      <w:bookmarkStart w:id="29" w:name="_Hlk118458459"/>
      <w:r w:rsidRPr="007B1EEB">
        <w:t xml:space="preserve">Revenue is below budget during the period mainly due to </w:t>
      </w:r>
      <w:r w:rsidR="00D600F5" w:rsidRPr="00254526">
        <w:t>rephased</w:t>
      </w:r>
      <w:r w:rsidRPr="00254526">
        <w:t xml:space="preserve"> grants and subsidies relating to the February 2022 Flood Damage – Community Assets project. </w:t>
      </w:r>
      <w:r w:rsidR="00D600F5" w:rsidRPr="00254526">
        <w:rPr>
          <w:rFonts w:eastAsia="Calibri"/>
        </w:rPr>
        <w:t>This will continue to be monitored throughout the year.</w:t>
      </w:r>
    </w:p>
    <w:bookmarkEnd w:id="29"/>
    <w:p w14:paraId="6EF6D2BC" w14:textId="0DFF620C" w:rsidR="007B1EEB" w:rsidRDefault="007B1EEB" w:rsidP="00EE10D2"/>
    <w:p w14:paraId="1FF8D0D0" w14:textId="119B94EB" w:rsidR="007B1EEB" w:rsidRDefault="007B1EEB" w:rsidP="00EE10D2">
      <w:r>
        <w:t>Operating expenses are below budget during the period mainly due to:</w:t>
      </w:r>
    </w:p>
    <w:p w14:paraId="276F8EA9" w14:textId="115866A4" w:rsidR="007B1EEB" w:rsidRPr="007B1EEB" w:rsidRDefault="007B1EEB" w:rsidP="00EE10D2">
      <w:pPr>
        <w:rPr>
          <w:rFonts w:eastAsia="Calibri"/>
        </w:rPr>
      </w:pPr>
      <w:r w:rsidRPr="007B1EEB">
        <w:rPr>
          <w:rFonts w:eastAsia="Calibri"/>
        </w:rPr>
        <w:t>Lower than anticipated expenditure in the following strategies:</w:t>
      </w:r>
    </w:p>
    <w:p w14:paraId="7DC0ADBA" w14:textId="764494AF" w:rsidR="007B1EEB" w:rsidRDefault="007B1EEB" w:rsidP="00EE10D2">
      <w:r>
        <w:t xml:space="preserve">Brisbane's Libraries strategy relating to activities for the purchase and management of library collections and the maintenance and enhancement of libraries. </w:t>
      </w:r>
    </w:p>
    <w:p w14:paraId="63D5AB95" w14:textId="060D4AE5" w:rsidR="007B1EEB" w:rsidRDefault="007B1EEB" w:rsidP="00EE10D2">
      <w:r>
        <w:t>City Venues Management strategy relating to activities for the golf courses.</w:t>
      </w:r>
    </w:p>
    <w:p w14:paraId="17246C71" w14:textId="57422168" w:rsidR="007B1EEB" w:rsidRDefault="007B1EEB" w:rsidP="00EE10D2">
      <w:r>
        <w:t xml:space="preserve">Develop and Deliver Customer Services strategy relating to activities for customer service solutions. </w:t>
      </w:r>
    </w:p>
    <w:p w14:paraId="6B60E172" w14:textId="5F0E887E" w:rsidR="007B1EEB" w:rsidRDefault="007B1EEB" w:rsidP="00EE10D2">
      <w:r>
        <w:t>Community Facilities strategy relating to the February 2022 Flood Damage – Community Assets project.</w:t>
      </w:r>
    </w:p>
    <w:p w14:paraId="7EB5CDAB" w14:textId="77777777" w:rsidR="007B1EEB" w:rsidRDefault="007B1EEB" w:rsidP="00EE10D2"/>
    <w:p w14:paraId="1FA011AF" w14:textId="77777777" w:rsidR="007B1EEB" w:rsidRDefault="007B1EEB" w:rsidP="00EE10D2">
      <w:r>
        <w:t>These are expected to be adjusted in the next budget review.</w:t>
      </w:r>
    </w:p>
    <w:p w14:paraId="5AD32417" w14:textId="77777777" w:rsidR="007B1EEB" w:rsidRDefault="007B1EEB" w:rsidP="00EE10D2"/>
    <w:p w14:paraId="711C6510" w14:textId="7BA14957" w:rsidR="007B1EEB" w:rsidRPr="003E4527" w:rsidRDefault="007B1EEB" w:rsidP="00EE10D2">
      <w:pPr>
        <w:rPr>
          <w:rFonts w:eastAsia="Calibri"/>
        </w:rPr>
      </w:pPr>
      <w:r w:rsidRPr="003E4527">
        <w:rPr>
          <w:rFonts w:eastAsia="Calibri"/>
        </w:rPr>
        <w:t>Rephased expenditure in the following strategies:</w:t>
      </w:r>
    </w:p>
    <w:p w14:paraId="695E076D" w14:textId="71089E83" w:rsidR="007B1EEB" w:rsidRPr="003E4527" w:rsidRDefault="007B1EEB" w:rsidP="00EE10D2">
      <w:r w:rsidRPr="003E4527">
        <w:t xml:space="preserve">City Venues Management strategy relating to activities for the aquatic centres. </w:t>
      </w:r>
    </w:p>
    <w:p w14:paraId="574FE119" w14:textId="4C41A953" w:rsidR="007B1EEB" w:rsidRPr="003E4527" w:rsidRDefault="007B1EEB" w:rsidP="00EE10D2">
      <w:r w:rsidRPr="003E4527">
        <w:t xml:space="preserve">Develop and Deliver Customer Services strategy relating to activities for customer service delivery. </w:t>
      </w:r>
    </w:p>
    <w:p w14:paraId="2E7B69A1" w14:textId="77777777" w:rsidR="007B1EEB" w:rsidRDefault="007B1EEB" w:rsidP="00EE10D2"/>
    <w:p w14:paraId="196121A1" w14:textId="12102627" w:rsidR="007B1EEB" w:rsidRDefault="007B1EEB" w:rsidP="00EE10D2">
      <w:r>
        <w:t>These are expected to materially align with the annual budget at the end of the financial year.</w:t>
      </w:r>
    </w:p>
    <w:p w14:paraId="109473F2" w14:textId="2A30D339" w:rsidR="003E4527" w:rsidRDefault="003E4527" w:rsidP="00EE10D2"/>
    <w:p w14:paraId="709694C6" w14:textId="77777777" w:rsidR="003E4527" w:rsidRDefault="003E4527" w:rsidP="00EE10D2">
      <w:r>
        <w:t>Capital expenditure is below budget during the period mainly due to:</w:t>
      </w:r>
    </w:p>
    <w:p w14:paraId="5BD67201" w14:textId="1E8763D3" w:rsidR="003E4527" w:rsidRPr="00254526" w:rsidRDefault="00BB71FE" w:rsidP="00EE10D2">
      <w:pPr>
        <w:rPr>
          <w:rFonts w:eastAsia="Calibri"/>
        </w:rPr>
      </w:pPr>
      <w:r w:rsidRPr="00254526">
        <w:rPr>
          <w:rFonts w:eastAsia="Calibri"/>
        </w:rPr>
        <w:t>Rephased</w:t>
      </w:r>
      <w:r w:rsidR="003E4527" w:rsidRPr="00254526">
        <w:rPr>
          <w:rFonts w:eastAsia="Calibri"/>
        </w:rPr>
        <w:t xml:space="preserve"> expenditure in the Community Facilities strategy, mainly relating to the February 2022 Flood Damage – Community Assets project. </w:t>
      </w:r>
      <w:r w:rsidRPr="00254526">
        <w:rPr>
          <w:rFonts w:eastAsia="Calibri"/>
        </w:rPr>
        <w:t>This will continue to be monitored throughout the year.</w:t>
      </w:r>
    </w:p>
    <w:p w14:paraId="2E23F00C" w14:textId="222FA626" w:rsidR="003E4527" w:rsidRPr="003E4527" w:rsidRDefault="003E4527" w:rsidP="00EE10D2">
      <w:pPr>
        <w:rPr>
          <w:rFonts w:eastAsia="Calibri"/>
        </w:rPr>
      </w:pPr>
      <w:r w:rsidRPr="003E4527">
        <w:rPr>
          <w:rFonts w:eastAsia="Calibri"/>
        </w:rPr>
        <w:t>Rephased expenditure in the City Venues Management strategy, mainly relating to the Pool Refurbishment project. This is expected to materially align with the annual budget at the end of the financial year.</w:t>
      </w:r>
    </w:p>
    <w:p w14:paraId="265BE916" w14:textId="77777777" w:rsidR="00661DBD" w:rsidRDefault="00661DBD" w:rsidP="00EE10D2">
      <w:pPr>
        <w:rPr>
          <w:noProof/>
        </w:rPr>
      </w:pPr>
    </w:p>
    <w:p w14:paraId="079C7CC1" w14:textId="65D48326" w:rsidR="00940FEC" w:rsidRDefault="00FA6B2D" w:rsidP="00BE34DF">
      <w:pPr>
        <w:jc w:val="center"/>
      </w:pPr>
      <w:r>
        <w:rPr>
          <w:noProof/>
        </w:rPr>
        <w:lastRenderedPageBreak/>
        <w:drawing>
          <wp:inline distT="0" distB="0" distL="0" distR="0" wp14:anchorId="24B83FDE" wp14:editId="60C3B975">
            <wp:extent cx="5972175" cy="2057400"/>
            <wp:effectExtent l="0" t="0" r="9525" b="0"/>
            <wp:docPr id="11" name="Picture 11" descr="This graph shows Program 5 – Lifestyle and Community Services total expenses (operating and capital) by strategy for the period ended September 2022.&#10;&#10;Brisbane’s Libraries $15.7 million&#10;Develop and Deliver Customer Services $7.5 million&#10;City Venues Management $7.3 million&#10;Community Facilities $7.2 million&#10;Cultural Facilities $6.3 million&#10;Cemeteries Management $3.5 million&#10;Other strategies $10.9 million&#10;Total expenses by strategy (operating and capital) $58.4 mill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graph shows Program 5 – Lifestyle and Community Services total expenses (operating and capital) by strategy for the period ended September 2022.&#10;&#10;Brisbane’s Libraries $15.7 million&#10;Develop and Deliver Customer Services $7.5 million&#10;City Venues Management $7.3 million&#10;Community Facilities $7.2 million&#10;Cultural Facilities $6.3 million&#10;Cemeteries Management $3.5 million&#10;Other strategies $10.9 million&#10;Total expenses by strategy (operating and capital) $58.4 million&#10;"/>
                    <pic:cNvPicPr/>
                  </pic:nvPicPr>
                  <pic:blipFill>
                    <a:blip r:embed="rId37"/>
                    <a:stretch>
                      <a:fillRect/>
                    </a:stretch>
                  </pic:blipFill>
                  <pic:spPr>
                    <a:xfrm>
                      <a:off x="0" y="0"/>
                      <a:ext cx="5972175" cy="2057400"/>
                    </a:xfrm>
                    <a:prstGeom prst="rect">
                      <a:avLst/>
                    </a:prstGeom>
                  </pic:spPr>
                </pic:pic>
              </a:graphicData>
            </a:graphic>
          </wp:inline>
        </w:drawing>
      </w:r>
    </w:p>
    <w:p w14:paraId="67FBE04A" w14:textId="2935C4DD" w:rsidR="00940FEC" w:rsidRDefault="00940FEC"/>
    <w:p w14:paraId="4E0C927B" w14:textId="7FBDD0C6" w:rsidR="00031618" w:rsidRDefault="00031618" w:rsidP="00EE10D2">
      <w:pPr>
        <w:pStyle w:val="Heading4black"/>
      </w:pPr>
      <w:r w:rsidRPr="005738B1">
        <w:t>Highlights and updates on key program strategies from the Annual Operational Plan</w:t>
      </w:r>
    </w:p>
    <w:p w14:paraId="2FFF2DBF" w14:textId="77777777" w:rsidR="005738B1" w:rsidRPr="005738B1" w:rsidRDefault="005738B1" w:rsidP="005738B1">
      <w:pPr>
        <w:pStyle w:val="NormalCouncilblue"/>
        <w:spacing w:after="0" w:line="240" w:lineRule="auto"/>
        <w:rPr>
          <w:b/>
          <w:bCs/>
        </w:rPr>
      </w:pPr>
    </w:p>
    <w:tbl>
      <w:tblPr>
        <w:tblStyle w:val="ListTable3-Accent1"/>
        <w:tblW w:w="9634" w:type="dxa"/>
        <w:tblBorders>
          <w:top w:val="single" w:sz="4" w:space="0" w:color="0067B1"/>
          <w:left w:val="single" w:sz="4" w:space="0" w:color="0067B1"/>
          <w:bottom w:val="single" w:sz="4" w:space="0" w:color="0067B1"/>
          <w:right w:val="single" w:sz="4" w:space="0" w:color="0067B1"/>
          <w:insideH w:val="single" w:sz="4" w:space="0" w:color="0067B1"/>
          <w:insideV w:val="single" w:sz="4" w:space="0" w:color="0067B1"/>
        </w:tblBorders>
        <w:tblLook w:val="04A0" w:firstRow="1" w:lastRow="0" w:firstColumn="1" w:lastColumn="0" w:noHBand="0" w:noVBand="1"/>
        <w:tblCaption w:val="HIghlights and updates on key program strategies from the annual operational plan"/>
        <w:tblDescription w:val="Strategy, highlights and updates&#10;Festivals and events&#10;Supported 30 festivals including Brisbane Festival 2022, which hosted 500 performances across Brisbane, employing over 1250 artists and arts workers including over 130 Aboriginal and Torres Strait Islander artists.&#10;Cultural activities&#10;A total audience of 10,120 people have attended the City Entertainment program’s weekly Lord Mayor’s City Hall Concerts.&#10;Brisbane’s Libraries &#10;Achieved more than 1.2 million visits to Council’s libraries.&#10;Provided and managed more than 2.4 million loans and downloads from library collections and resources.&#10;Continued progress of New Everton Park Library project – public tender period closed in early August 2022, currently in tender evaluation stage.&#10;Community Health and wellbeing &#10;Council’s Active and Healthy Parks Program delivered more than 4300 activity sessions across Brisbane.&#10;Diverse and Inclusive communities &#10;Published Council’s Reconciliation Action Plan (RAP) in&#10;August 2022. The deliverables outlined in Council’s RAP further&#10;embed Council’s approach to reconciliation while supporting&#10;Aboriginal and Torres Strait Islander communities and ensuring the&#10;Brisbane of tomorrow is even better than the Brisbane of today.&#10;Commenced delivery of accessibility upgrades under Council’s&#10;Inclusive Brisbane Plan at community facilities and venues with&#10;works at four sites on track for completion in 2022-23, including&#10;accessible adult change facilities at Langlands Pool to assist&#10;persons with disability to participate in water activities.&#10;Community facilities &#10;Completed construction of two projects under the Community Facility Improvement Program, supported by the Australian Government’s Local Roads and Community Infrastructure Program: -New clubhouse at Brisbane Metropolitan Touch Association, Whites Hill Reserve, Camp Hill.-Refurbishment of the heritage-listed former Paddington Substation community facility.&#10;Preserve and Maintain City Hall and King George Square Precinct&#10;Hosted more than 20 civic and community events at Brisbane City Hall.&#10;City Venues Management &#10;More than 54,000 patrons attended the Sir Thomas Brisbane Planetarium. More than 410,000 visitors to Council’s 22 pools.&#10;City Engagement&#10;More than 16,200 site visits to Your City Your Say online engagement platform since July 2022. Your City Your Say program membership increased from 13,086 to13,573 since July 2022.&#10;Development and Deliver Customer Services&#10;Approved 106 filming approvals through the Business Hotline. Promoted 55 not-for-profit organisations, community and cultural events and awareness campaigns by lighting up Council assets, such as Orange Sky July, State of Origin, Ekka and the Centenary of Queensland Country Women’s Association. Council’s Contact Centre maintained high satisfaction ratings for customers with 94% overall satisfaction with the service provided by Contact Centre consultants.&#10;"/>
      </w:tblPr>
      <w:tblGrid>
        <w:gridCol w:w="2405"/>
        <w:gridCol w:w="7229"/>
      </w:tblGrid>
      <w:tr w:rsidR="00031618" w:rsidRPr="00ED3210" w14:paraId="6F7FE7E2" w14:textId="77777777" w:rsidTr="007C2BBE">
        <w:trPr>
          <w:cnfStyle w:val="100000000000" w:firstRow="1" w:lastRow="0" w:firstColumn="0" w:lastColumn="0" w:oddVBand="0" w:evenVBand="0" w:oddHBand="0" w:evenHBand="0" w:firstRowFirstColumn="0" w:firstRowLastColumn="0" w:lastRowFirstColumn="0" w:lastRowLastColumn="0"/>
          <w:cantSplit/>
          <w:trHeight w:val="311"/>
          <w:tblHeader/>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shd w:val="clear" w:color="auto" w:fill="0067B1"/>
          </w:tcPr>
          <w:p w14:paraId="1B5D47BF" w14:textId="77777777" w:rsidR="00031618" w:rsidRPr="00A71510" w:rsidRDefault="00031618" w:rsidP="00EE10D2">
            <w:pPr>
              <w:rPr>
                <w:color w:val="0070C0"/>
              </w:rPr>
            </w:pPr>
            <w:r w:rsidRPr="00A71510">
              <w:t>Strategy</w:t>
            </w:r>
          </w:p>
        </w:tc>
        <w:tc>
          <w:tcPr>
            <w:tcW w:w="7229" w:type="dxa"/>
            <w:shd w:val="clear" w:color="auto" w:fill="0067B1"/>
          </w:tcPr>
          <w:p w14:paraId="649627C0" w14:textId="4CD427CC" w:rsidR="00031618" w:rsidRPr="00ED3210" w:rsidRDefault="00031618" w:rsidP="00EE10D2">
            <w:pPr>
              <w:cnfStyle w:val="100000000000" w:firstRow="1" w:lastRow="0" w:firstColumn="0" w:lastColumn="0" w:oddVBand="0" w:evenVBand="0" w:oddHBand="0" w:evenHBand="0" w:firstRowFirstColumn="0" w:firstRowLastColumn="0" w:lastRowFirstColumn="0" w:lastRowLastColumn="0"/>
              <w:rPr>
                <w:color w:val="auto"/>
              </w:rPr>
            </w:pPr>
            <w:r>
              <w:t>Highlights and updates</w:t>
            </w:r>
          </w:p>
        </w:tc>
      </w:tr>
      <w:tr w:rsidR="002F143B" w:rsidRPr="00ED3210" w14:paraId="7BB0B49F" w14:textId="77777777" w:rsidTr="007C2BBE">
        <w:trPr>
          <w:cnfStyle w:val="000000100000" w:firstRow="0" w:lastRow="0" w:firstColumn="0" w:lastColumn="0" w:oddVBand="0" w:evenVBand="0" w:oddHBand="1" w:evenHBand="0" w:firstRowFirstColumn="0" w:firstRowLastColumn="0" w:lastRowFirstColumn="0" w:lastRowLastColumn="0"/>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18EFC1F7" w14:textId="5FD79338" w:rsidR="002F143B" w:rsidRPr="00D23CD1" w:rsidRDefault="002F143B" w:rsidP="00EE10D2">
            <w:pPr>
              <w:rPr>
                <w:b w:val="0"/>
                <w:noProof/>
                <w:snapToGrid w:val="0"/>
                <w:sz w:val="20"/>
                <w:lang w:val="en-US"/>
              </w:rPr>
            </w:pPr>
            <w:r w:rsidRPr="16E0757B">
              <w:rPr>
                <w:rFonts w:eastAsia="Calibri"/>
              </w:rPr>
              <w:t>Festivals and Events</w:t>
            </w:r>
          </w:p>
        </w:tc>
        <w:tc>
          <w:tcPr>
            <w:tcW w:w="7229" w:type="dxa"/>
            <w:tcBorders>
              <w:top w:val="none" w:sz="0" w:space="0" w:color="auto"/>
              <w:bottom w:val="none" w:sz="0" w:space="0" w:color="auto"/>
            </w:tcBorders>
          </w:tcPr>
          <w:p w14:paraId="574DF5E4" w14:textId="77777777" w:rsidR="00661DBD" w:rsidRPr="00A549A3" w:rsidRDefault="003E4527" w:rsidP="00EE10D2">
            <w:pPr>
              <w:cnfStyle w:val="000000100000" w:firstRow="0" w:lastRow="0" w:firstColumn="0" w:lastColumn="0" w:oddVBand="0" w:evenVBand="0" w:oddHBand="1" w:evenHBand="0" w:firstRowFirstColumn="0" w:firstRowLastColumn="0" w:lastRowFirstColumn="0" w:lastRowLastColumn="0"/>
              <w:rPr>
                <w:rFonts w:eastAsia="Arial"/>
              </w:rPr>
            </w:pPr>
            <w:r w:rsidRPr="003E4527">
              <w:rPr>
                <w:rFonts w:eastAsia="Arial"/>
                <w:lang w:val="en-GB"/>
              </w:rPr>
              <w:t>Supported 30 festivals including Brisbane Festival 2022, which hosted 500 performances across Brisbane, employing over 1250 artists and arts workers including over 130 Aboriginal and Torres Strait Islander artists.</w:t>
            </w:r>
          </w:p>
          <w:p w14:paraId="108FE77F" w14:textId="704D0F39" w:rsidR="00A549A3" w:rsidRPr="002F4E8B" w:rsidRDefault="00A549A3" w:rsidP="00EE10D2">
            <w:pPr>
              <w:cnfStyle w:val="000000100000" w:firstRow="0" w:lastRow="0" w:firstColumn="0" w:lastColumn="0" w:oddVBand="0" w:evenVBand="0" w:oddHBand="1" w:evenHBand="0" w:firstRowFirstColumn="0" w:firstRowLastColumn="0" w:lastRowFirstColumn="0" w:lastRowLastColumn="0"/>
              <w:rPr>
                <w:rFonts w:eastAsia="Arial"/>
              </w:rPr>
            </w:pPr>
          </w:p>
        </w:tc>
      </w:tr>
      <w:tr w:rsidR="002F143B" w:rsidRPr="00ED3210" w14:paraId="7B3DA182" w14:textId="77777777" w:rsidTr="007C2BBE">
        <w:trPr>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450E2E86" w14:textId="4CA16A9A" w:rsidR="002F143B" w:rsidRPr="00D23CD1" w:rsidRDefault="00A549A3" w:rsidP="00EE10D2">
            <w:pPr>
              <w:rPr>
                <w:b w:val="0"/>
                <w:noProof/>
                <w:snapToGrid w:val="0"/>
                <w:sz w:val="20"/>
                <w:lang w:val="en-US"/>
              </w:rPr>
            </w:pPr>
            <w:r>
              <w:rPr>
                <w:rFonts w:eastAsia="Calibri"/>
              </w:rPr>
              <w:t>Cultural Activities</w:t>
            </w:r>
          </w:p>
        </w:tc>
        <w:tc>
          <w:tcPr>
            <w:tcW w:w="7229" w:type="dxa"/>
          </w:tcPr>
          <w:p w14:paraId="04AFCB0D" w14:textId="77777777" w:rsidR="00661DBD" w:rsidRPr="00593B6D" w:rsidRDefault="00A549A3" w:rsidP="00EE10D2">
            <w:pPr>
              <w:cnfStyle w:val="000000000000" w:firstRow="0" w:lastRow="0" w:firstColumn="0" w:lastColumn="0" w:oddVBand="0" w:evenVBand="0" w:oddHBand="0" w:evenHBand="0" w:firstRowFirstColumn="0" w:firstRowLastColumn="0" w:lastRowFirstColumn="0" w:lastRowLastColumn="0"/>
              <w:rPr>
                <w:rFonts w:eastAsia="Arial"/>
              </w:rPr>
            </w:pPr>
            <w:r w:rsidRPr="00A549A3">
              <w:rPr>
                <w:rFonts w:eastAsia="Arial"/>
                <w:lang w:val="en-GB"/>
              </w:rPr>
              <w:t>A total audience of 10,120 people have attended the City Entertainment program’s weekly Lord Mayor’s City Hall Concerts.</w:t>
            </w:r>
          </w:p>
          <w:p w14:paraId="1331DED1" w14:textId="338EB483" w:rsidR="00593B6D" w:rsidRPr="002F4E8B" w:rsidRDefault="00593B6D" w:rsidP="00EE10D2">
            <w:pPr>
              <w:cnfStyle w:val="000000000000" w:firstRow="0" w:lastRow="0" w:firstColumn="0" w:lastColumn="0" w:oddVBand="0" w:evenVBand="0" w:oddHBand="0" w:evenHBand="0" w:firstRowFirstColumn="0" w:firstRowLastColumn="0" w:lastRowFirstColumn="0" w:lastRowLastColumn="0"/>
              <w:rPr>
                <w:rFonts w:eastAsia="Arial"/>
              </w:rPr>
            </w:pPr>
          </w:p>
        </w:tc>
      </w:tr>
      <w:tr w:rsidR="002F143B" w:rsidRPr="00ED3210" w14:paraId="37F9A50B" w14:textId="77777777" w:rsidTr="007C2BBE">
        <w:trPr>
          <w:cnfStyle w:val="000000100000" w:firstRow="0" w:lastRow="0" w:firstColumn="0" w:lastColumn="0" w:oddVBand="0" w:evenVBand="0" w:oddHBand="1" w:evenHBand="0" w:firstRowFirstColumn="0" w:firstRowLastColumn="0" w:lastRowFirstColumn="0" w:lastRowLastColumn="0"/>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6403BA0E" w14:textId="65772E25" w:rsidR="002F143B" w:rsidRPr="00D23CD1" w:rsidRDefault="002F143B" w:rsidP="00EE10D2">
            <w:pPr>
              <w:rPr>
                <w:b w:val="0"/>
                <w:noProof/>
                <w:snapToGrid w:val="0"/>
                <w:sz w:val="20"/>
                <w:lang w:val="en-US"/>
              </w:rPr>
            </w:pPr>
            <w:r w:rsidRPr="16E0757B">
              <w:rPr>
                <w:rFonts w:eastAsia="Calibri"/>
              </w:rPr>
              <w:t>Brisbane’s Libraries</w:t>
            </w:r>
          </w:p>
        </w:tc>
        <w:tc>
          <w:tcPr>
            <w:tcW w:w="7229" w:type="dxa"/>
            <w:tcBorders>
              <w:top w:val="none" w:sz="0" w:space="0" w:color="auto"/>
              <w:bottom w:val="none" w:sz="0" w:space="0" w:color="auto"/>
            </w:tcBorders>
          </w:tcPr>
          <w:p w14:paraId="15826326" w14:textId="4ADF48CC" w:rsidR="00A549A3" w:rsidRPr="00A549A3" w:rsidRDefault="00A549A3" w:rsidP="00EE10D2">
            <w:pPr>
              <w:cnfStyle w:val="000000100000" w:firstRow="0" w:lastRow="0" w:firstColumn="0" w:lastColumn="0" w:oddVBand="0" w:evenVBand="0" w:oddHBand="1" w:evenHBand="0" w:firstRowFirstColumn="0" w:firstRowLastColumn="0" w:lastRowFirstColumn="0" w:lastRowLastColumn="0"/>
              <w:rPr>
                <w:rFonts w:eastAsia="Arial"/>
                <w:lang w:val="en-GB"/>
              </w:rPr>
            </w:pPr>
            <w:r w:rsidRPr="00A549A3">
              <w:rPr>
                <w:rFonts w:eastAsia="Arial"/>
                <w:lang w:val="en-GB"/>
              </w:rPr>
              <w:t>Achieved more than 1.2 million visits to Council’s libraries.</w:t>
            </w:r>
          </w:p>
          <w:p w14:paraId="4622789A" w14:textId="06B84B6A" w:rsidR="00A549A3" w:rsidRPr="00A549A3" w:rsidRDefault="00A549A3" w:rsidP="00EE10D2">
            <w:pPr>
              <w:cnfStyle w:val="000000100000" w:firstRow="0" w:lastRow="0" w:firstColumn="0" w:lastColumn="0" w:oddVBand="0" w:evenVBand="0" w:oddHBand="1" w:evenHBand="0" w:firstRowFirstColumn="0" w:firstRowLastColumn="0" w:lastRowFirstColumn="0" w:lastRowLastColumn="0"/>
              <w:rPr>
                <w:rFonts w:eastAsia="Arial"/>
                <w:lang w:val="en-GB"/>
              </w:rPr>
            </w:pPr>
            <w:r w:rsidRPr="00A549A3">
              <w:rPr>
                <w:rFonts w:eastAsia="Arial"/>
                <w:lang w:val="en-GB"/>
              </w:rPr>
              <w:t>Provided and managed more than 2.4 million loans and downloads from library collections and resources.</w:t>
            </w:r>
          </w:p>
          <w:p w14:paraId="0A20ADFC" w14:textId="77777777" w:rsidR="00661DBD" w:rsidRPr="00593B6D" w:rsidRDefault="00A549A3" w:rsidP="00EE10D2">
            <w:pPr>
              <w:cnfStyle w:val="000000100000" w:firstRow="0" w:lastRow="0" w:firstColumn="0" w:lastColumn="0" w:oddVBand="0" w:evenVBand="0" w:oddHBand="1" w:evenHBand="0" w:firstRowFirstColumn="0" w:firstRowLastColumn="0" w:lastRowFirstColumn="0" w:lastRowLastColumn="0"/>
              <w:rPr>
                <w:rFonts w:eastAsia="Arial"/>
              </w:rPr>
            </w:pPr>
            <w:r w:rsidRPr="00A549A3">
              <w:rPr>
                <w:rFonts w:eastAsia="Arial"/>
                <w:lang w:val="en-GB"/>
              </w:rPr>
              <w:t>Continued progress of New Everton Park Library project - public tender period closed in early August 2022, currently in tender evaluation stage.</w:t>
            </w:r>
          </w:p>
          <w:p w14:paraId="7E059A33" w14:textId="670D73CF" w:rsidR="00593B6D" w:rsidRPr="002F4E8B" w:rsidRDefault="00593B6D" w:rsidP="00EE10D2">
            <w:pPr>
              <w:cnfStyle w:val="000000100000" w:firstRow="0" w:lastRow="0" w:firstColumn="0" w:lastColumn="0" w:oddVBand="0" w:evenVBand="0" w:oddHBand="1" w:evenHBand="0" w:firstRowFirstColumn="0" w:firstRowLastColumn="0" w:lastRowFirstColumn="0" w:lastRowLastColumn="0"/>
              <w:rPr>
                <w:rFonts w:eastAsia="Arial"/>
              </w:rPr>
            </w:pPr>
          </w:p>
        </w:tc>
      </w:tr>
      <w:tr w:rsidR="002F143B" w:rsidRPr="00ED3210" w14:paraId="1D6E5732" w14:textId="77777777" w:rsidTr="007C2BBE">
        <w:trPr>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4D25CAB6" w14:textId="695EE877" w:rsidR="002F143B" w:rsidRPr="00D23CD1" w:rsidRDefault="002F143B" w:rsidP="00EE10D2">
            <w:pPr>
              <w:rPr>
                <w:b w:val="0"/>
                <w:noProof/>
                <w:snapToGrid w:val="0"/>
                <w:sz w:val="20"/>
                <w:lang w:val="en-US"/>
              </w:rPr>
            </w:pPr>
            <w:r w:rsidRPr="16E0757B">
              <w:rPr>
                <w:rFonts w:eastAsia="Calibri"/>
              </w:rPr>
              <w:t>Community Health and Wellbeing</w:t>
            </w:r>
          </w:p>
        </w:tc>
        <w:tc>
          <w:tcPr>
            <w:tcW w:w="7229" w:type="dxa"/>
          </w:tcPr>
          <w:p w14:paraId="0E393634" w14:textId="77777777" w:rsidR="005738B1" w:rsidRDefault="00593B6D" w:rsidP="00EE10D2">
            <w:pPr>
              <w:cnfStyle w:val="000000000000" w:firstRow="0" w:lastRow="0" w:firstColumn="0" w:lastColumn="0" w:oddVBand="0" w:evenVBand="0" w:oddHBand="0" w:evenHBand="0" w:firstRowFirstColumn="0" w:firstRowLastColumn="0" w:lastRowFirstColumn="0" w:lastRowLastColumn="0"/>
              <w:rPr>
                <w:rFonts w:eastAsia="Arial"/>
                <w:lang w:val="en-GB"/>
              </w:rPr>
            </w:pPr>
            <w:r w:rsidRPr="00593B6D">
              <w:rPr>
                <w:rFonts w:eastAsia="Arial"/>
                <w:lang w:val="en-GB"/>
              </w:rPr>
              <w:t>Council’s Active and Healthy Parks Program delivered more than 4300 activity sessions across Brisbane.</w:t>
            </w:r>
          </w:p>
          <w:p w14:paraId="3DDE8A59" w14:textId="0A4B84FB" w:rsidR="00593B6D" w:rsidRPr="00593B6D" w:rsidRDefault="00593B6D" w:rsidP="00EE10D2">
            <w:pPr>
              <w:cnfStyle w:val="000000000000" w:firstRow="0" w:lastRow="0" w:firstColumn="0" w:lastColumn="0" w:oddVBand="0" w:evenVBand="0" w:oddHBand="0" w:evenHBand="0" w:firstRowFirstColumn="0" w:firstRowLastColumn="0" w:lastRowFirstColumn="0" w:lastRowLastColumn="0"/>
              <w:rPr>
                <w:rFonts w:eastAsia="Arial"/>
                <w:lang w:val="en-GB"/>
              </w:rPr>
            </w:pPr>
          </w:p>
        </w:tc>
      </w:tr>
      <w:tr w:rsidR="002F143B" w:rsidRPr="00ED3210" w14:paraId="0BC692BD" w14:textId="77777777" w:rsidTr="007C2BBE">
        <w:trPr>
          <w:cnfStyle w:val="000000100000" w:firstRow="0" w:lastRow="0" w:firstColumn="0" w:lastColumn="0" w:oddVBand="0" w:evenVBand="0" w:oddHBand="1" w:evenHBand="0" w:firstRowFirstColumn="0" w:firstRowLastColumn="0" w:lastRowFirstColumn="0" w:lastRowLastColumn="0"/>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525C27F1" w14:textId="6B81D69A" w:rsidR="002F143B" w:rsidRPr="00D23CD1" w:rsidRDefault="002F143B" w:rsidP="00EE10D2">
            <w:pPr>
              <w:rPr>
                <w:b w:val="0"/>
                <w:noProof/>
                <w:snapToGrid w:val="0"/>
                <w:sz w:val="20"/>
                <w:lang w:val="en-US"/>
              </w:rPr>
            </w:pPr>
            <w:r w:rsidRPr="16E0757B">
              <w:t>Diverse and Inclusive Communities</w:t>
            </w:r>
          </w:p>
        </w:tc>
        <w:tc>
          <w:tcPr>
            <w:tcW w:w="7229" w:type="dxa"/>
            <w:tcBorders>
              <w:top w:val="none" w:sz="0" w:space="0" w:color="auto"/>
              <w:bottom w:val="none" w:sz="0" w:space="0" w:color="auto"/>
            </w:tcBorders>
          </w:tcPr>
          <w:p w14:paraId="634FA0C7" w14:textId="1FFB62A8" w:rsidR="00593B6D" w:rsidRPr="00593B6D" w:rsidRDefault="00593B6D" w:rsidP="00EE10D2">
            <w:pPr>
              <w:cnfStyle w:val="000000100000" w:firstRow="0" w:lastRow="0" w:firstColumn="0" w:lastColumn="0" w:oddVBand="0" w:evenVBand="0" w:oddHBand="1" w:evenHBand="0" w:firstRowFirstColumn="0" w:firstRowLastColumn="0" w:lastRowFirstColumn="0" w:lastRowLastColumn="0"/>
              <w:rPr>
                <w:rFonts w:eastAsia="Arial"/>
                <w:lang w:val="en-GB"/>
              </w:rPr>
            </w:pPr>
            <w:r w:rsidRPr="00593B6D">
              <w:rPr>
                <w:rFonts w:eastAsia="Arial"/>
                <w:lang w:val="en-GB"/>
              </w:rPr>
              <w:t>Published Council’s Reconciliation Action Plan (RAP) in August</w:t>
            </w:r>
            <w:r w:rsidR="00277595">
              <w:rPr>
                <w:rFonts w:eastAsia="Arial"/>
                <w:lang w:val="en-GB"/>
              </w:rPr>
              <w:t> </w:t>
            </w:r>
            <w:r w:rsidRPr="00593B6D">
              <w:rPr>
                <w:rFonts w:eastAsia="Arial"/>
                <w:lang w:val="en-GB"/>
              </w:rPr>
              <w:t>2022. The deliverables outlined in Council’s RAP further embed Council’s approach to reconciliation while supporting Aboriginal and Torres Strait Islander communities and ensuring the Brisbane of tomorrow is even better than the Brisbane of today.</w:t>
            </w:r>
          </w:p>
          <w:p w14:paraId="36C9D7AD" w14:textId="77777777" w:rsidR="005738B1" w:rsidRPr="00593B6D" w:rsidRDefault="00593B6D" w:rsidP="00EE10D2">
            <w:pPr>
              <w:cnfStyle w:val="000000100000" w:firstRow="0" w:lastRow="0" w:firstColumn="0" w:lastColumn="0" w:oddVBand="0" w:evenVBand="0" w:oddHBand="1" w:evenHBand="0" w:firstRowFirstColumn="0" w:firstRowLastColumn="0" w:lastRowFirstColumn="0" w:lastRowLastColumn="0"/>
              <w:rPr>
                <w:bCs/>
                <w:noProof/>
                <w:snapToGrid w:val="0"/>
                <w:sz w:val="20"/>
                <w:lang w:val="en-US"/>
              </w:rPr>
            </w:pPr>
            <w:r w:rsidRPr="00593B6D">
              <w:rPr>
                <w:rFonts w:eastAsia="Arial"/>
                <w:lang w:val="en-GB"/>
              </w:rPr>
              <w:t xml:space="preserve">Commenced delivery of accessibility upgrades under Council’s Inclusive Brisbane Plan at community facilities and venues with works at four sites on track for completion in 2022-23, including accessible adult change facilities at </w:t>
            </w:r>
            <w:proofErr w:type="spellStart"/>
            <w:r w:rsidRPr="00593B6D">
              <w:rPr>
                <w:rFonts w:eastAsia="Arial"/>
                <w:lang w:val="en-GB"/>
              </w:rPr>
              <w:t>Langlands</w:t>
            </w:r>
            <w:proofErr w:type="spellEnd"/>
            <w:r w:rsidRPr="00593B6D">
              <w:rPr>
                <w:rFonts w:eastAsia="Arial"/>
                <w:lang w:val="en-GB"/>
              </w:rPr>
              <w:t xml:space="preserve"> Pool to assist persons with disability to participate in water activities.</w:t>
            </w:r>
          </w:p>
          <w:p w14:paraId="34751C2C" w14:textId="1C02E9A3" w:rsidR="00593B6D" w:rsidRPr="00142C9F" w:rsidRDefault="00593B6D" w:rsidP="00EE10D2">
            <w:pPr>
              <w:cnfStyle w:val="000000100000" w:firstRow="0" w:lastRow="0" w:firstColumn="0" w:lastColumn="0" w:oddVBand="0" w:evenVBand="0" w:oddHBand="1" w:evenHBand="0" w:firstRowFirstColumn="0" w:firstRowLastColumn="0" w:lastRowFirstColumn="0" w:lastRowLastColumn="0"/>
              <w:rPr>
                <w:bCs/>
                <w:noProof/>
                <w:snapToGrid w:val="0"/>
                <w:szCs w:val="24"/>
                <w:lang w:val="en-US"/>
              </w:rPr>
            </w:pPr>
          </w:p>
        </w:tc>
      </w:tr>
      <w:tr w:rsidR="002F143B" w:rsidRPr="00ED3210" w14:paraId="4B485A87" w14:textId="77777777" w:rsidTr="007C2BBE">
        <w:trPr>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5B562DE0" w14:textId="48994C34" w:rsidR="002F143B" w:rsidRPr="00D23CD1" w:rsidRDefault="002F143B" w:rsidP="00EE10D2">
            <w:pPr>
              <w:rPr>
                <w:b w:val="0"/>
                <w:noProof/>
                <w:snapToGrid w:val="0"/>
                <w:sz w:val="20"/>
                <w:lang w:val="en-US"/>
              </w:rPr>
            </w:pPr>
            <w:r w:rsidRPr="16E0757B">
              <w:lastRenderedPageBreak/>
              <w:t>Community Facilities</w:t>
            </w:r>
          </w:p>
        </w:tc>
        <w:tc>
          <w:tcPr>
            <w:tcW w:w="7229" w:type="dxa"/>
          </w:tcPr>
          <w:p w14:paraId="15BC98FE" w14:textId="77777777" w:rsidR="00142C9F" w:rsidRPr="00142C9F" w:rsidRDefault="00142C9F" w:rsidP="00EE10D2">
            <w:pPr>
              <w:cnfStyle w:val="000000000000" w:firstRow="0" w:lastRow="0" w:firstColumn="0" w:lastColumn="0" w:oddVBand="0" w:evenVBand="0" w:oddHBand="0" w:evenHBand="0" w:firstRowFirstColumn="0" w:firstRowLastColumn="0" w:lastRowFirstColumn="0" w:lastRowLastColumn="0"/>
              <w:rPr>
                <w:rFonts w:eastAsia="Arial"/>
                <w:lang w:val="en-GB"/>
              </w:rPr>
            </w:pPr>
            <w:r w:rsidRPr="00142C9F">
              <w:rPr>
                <w:rFonts w:eastAsia="Arial"/>
                <w:lang w:val="en-GB"/>
              </w:rPr>
              <w:t xml:space="preserve">Completed construction of two projects under the Community Facility Improvement Program, supported by the Australian Government’s Local Roads and Community Infrastructure Program: </w:t>
            </w:r>
          </w:p>
          <w:p w14:paraId="7F4600EA" w14:textId="77777777" w:rsidR="00142C9F" w:rsidRPr="00142C9F" w:rsidRDefault="00142C9F" w:rsidP="00EE10D2">
            <w:pPr>
              <w:cnfStyle w:val="000000000000" w:firstRow="0" w:lastRow="0" w:firstColumn="0" w:lastColumn="0" w:oddVBand="0" w:evenVBand="0" w:oddHBand="0" w:evenHBand="0" w:firstRowFirstColumn="0" w:firstRowLastColumn="0" w:lastRowFirstColumn="0" w:lastRowLastColumn="0"/>
              <w:rPr>
                <w:rFonts w:eastAsia="Arial"/>
                <w:lang w:val="en-GB"/>
              </w:rPr>
            </w:pPr>
            <w:r w:rsidRPr="00142C9F">
              <w:rPr>
                <w:rFonts w:eastAsia="Arial"/>
                <w:lang w:val="en-GB"/>
              </w:rPr>
              <w:t>New clubhouse at Brisbane Metropolitan Touch Association, Whites Hill Reserve, Camp Hill.</w:t>
            </w:r>
          </w:p>
          <w:p w14:paraId="1AB24272" w14:textId="77777777" w:rsidR="00593B6D" w:rsidRPr="00142C9F" w:rsidRDefault="00142C9F" w:rsidP="00EE10D2">
            <w:pPr>
              <w:cnfStyle w:val="000000000000" w:firstRow="0" w:lastRow="0" w:firstColumn="0" w:lastColumn="0" w:oddVBand="0" w:evenVBand="0" w:oddHBand="0" w:evenHBand="0" w:firstRowFirstColumn="0" w:firstRowLastColumn="0" w:lastRowFirstColumn="0" w:lastRowLastColumn="0"/>
            </w:pPr>
            <w:r w:rsidRPr="00142C9F">
              <w:rPr>
                <w:rFonts w:eastAsia="Arial"/>
                <w:lang w:val="en-GB"/>
              </w:rPr>
              <w:t>Refurbishment of the heritage-listed former Paddington Substation community facility</w:t>
            </w:r>
            <w:r>
              <w:rPr>
                <w:rFonts w:eastAsia="Arial"/>
                <w:lang w:val="en-GB"/>
              </w:rPr>
              <w:t>.</w:t>
            </w:r>
          </w:p>
          <w:p w14:paraId="142ADC0B" w14:textId="5FC81A9F" w:rsidR="00142C9F" w:rsidRPr="002F143B" w:rsidRDefault="00142C9F" w:rsidP="00EE10D2">
            <w:pPr>
              <w:cnfStyle w:val="000000000000" w:firstRow="0" w:lastRow="0" w:firstColumn="0" w:lastColumn="0" w:oddVBand="0" w:evenVBand="0" w:oddHBand="0" w:evenHBand="0" w:firstRowFirstColumn="0" w:firstRowLastColumn="0" w:lastRowFirstColumn="0" w:lastRowLastColumn="0"/>
            </w:pPr>
          </w:p>
        </w:tc>
      </w:tr>
      <w:tr w:rsidR="002F143B" w:rsidRPr="00ED3210" w14:paraId="6C90A89D" w14:textId="77777777" w:rsidTr="007C2BBE">
        <w:trPr>
          <w:cnfStyle w:val="000000100000" w:firstRow="0" w:lastRow="0" w:firstColumn="0" w:lastColumn="0" w:oddVBand="0" w:evenVBand="0" w:oddHBand="1" w:evenHBand="0" w:firstRowFirstColumn="0" w:firstRowLastColumn="0" w:lastRowFirstColumn="0" w:lastRowLastColumn="0"/>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490FD410" w14:textId="6ABD2A6B" w:rsidR="002D40C0" w:rsidRPr="002D40C0" w:rsidRDefault="002F143B" w:rsidP="00EE10D2">
            <w:pPr>
              <w:rPr>
                <w:b w:val="0"/>
              </w:rPr>
            </w:pPr>
            <w:r w:rsidRPr="16E0757B">
              <w:t>Preserve and Maintain City Hall and King George Square Precinct</w:t>
            </w:r>
          </w:p>
        </w:tc>
        <w:tc>
          <w:tcPr>
            <w:tcW w:w="7229" w:type="dxa"/>
            <w:tcBorders>
              <w:top w:val="none" w:sz="0" w:space="0" w:color="auto"/>
              <w:bottom w:val="none" w:sz="0" w:space="0" w:color="auto"/>
            </w:tcBorders>
          </w:tcPr>
          <w:p w14:paraId="7F47478B" w14:textId="2CE5F6F3" w:rsidR="002F143B" w:rsidRPr="00D23CD1" w:rsidRDefault="00142C9F" w:rsidP="00EE10D2">
            <w:pPr>
              <w:cnfStyle w:val="000000100000" w:firstRow="0" w:lastRow="0" w:firstColumn="0" w:lastColumn="0" w:oddVBand="0" w:evenVBand="0" w:oddHBand="1" w:evenHBand="0" w:firstRowFirstColumn="0" w:firstRowLastColumn="0" w:lastRowFirstColumn="0" w:lastRowLastColumn="0"/>
              <w:rPr>
                <w:bCs/>
                <w:noProof/>
                <w:snapToGrid w:val="0"/>
                <w:sz w:val="20"/>
                <w:lang w:val="en-US"/>
              </w:rPr>
            </w:pPr>
            <w:r w:rsidRPr="00142C9F">
              <w:rPr>
                <w:rFonts w:eastAsia="Arial"/>
                <w:lang w:val="en-GB"/>
              </w:rPr>
              <w:t>Hosted more than 20 civic and community events at Brisbane City Hall.</w:t>
            </w:r>
          </w:p>
        </w:tc>
      </w:tr>
      <w:tr w:rsidR="002F143B" w:rsidRPr="00ED3210" w14:paraId="2B7521DC" w14:textId="77777777" w:rsidTr="007C2BBE">
        <w:trPr>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5C48D761" w14:textId="7A4115C2" w:rsidR="002F143B" w:rsidRPr="00D23CD1" w:rsidRDefault="002F143B" w:rsidP="00EE10D2">
            <w:pPr>
              <w:rPr>
                <w:b w:val="0"/>
                <w:noProof/>
                <w:snapToGrid w:val="0"/>
                <w:sz w:val="20"/>
                <w:lang w:val="en-US"/>
              </w:rPr>
            </w:pPr>
            <w:r w:rsidRPr="16E0757B">
              <w:t>City Venues Management</w:t>
            </w:r>
          </w:p>
        </w:tc>
        <w:tc>
          <w:tcPr>
            <w:tcW w:w="7229" w:type="dxa"/>
          </w:tcPr>
          <w:p w14:paraId="2FEAD6A0" w14:textId="77777777" w:rsidR="00142C9F" w:rsidRPr="00142C9F" w:rsidRDefault="00142C9F" w:rsidP="00EE10D2">
            <w:pPr>
              <w:cnfStyle w:val="000000000000" w:firstRow="0" w:lastRow="0" w:firstColumn="0" w:lastColumn="0" w:oddVBand="0" w:evenVBand="0" w:oddHBand="0" w:evenHBand="0" w:firstRowFirstColumn="0" w:firstRowLastColumn="0" w:lastRowFirstColumn="0" w:lastRowLastColumn="0"/>
              <w:rPr>
                <w:rFonts w:eastAsia="Arial"/>
                <w:lang w:val="en-GB"/>
              </w:rPr>
            </w:pPr>
            <w:r w:rsidRPr="00142C9F">
              <w:rPr>
                <w:rFonts w:eastAsia="Arial"/>
                <w:lang w:val="en-GB"/>
              </w:rPr>
              <w:t xml:space="preserve">More than 54,000 patrons attended the Sir Thomas Brisbane Planetarium. </w:t>
            </w:r>
          </w:p>
          <w:p w14:paraId="106F3E7D" w14:textId="77777777" w:rsidR="00593B6D" w:rsidRDefault="00142C9F" w:rsidP="00EE10D2">
            <w:pPr>
              <w:cnfStyle w:val="000000000000" w:firstRow="0" w:lastRow="0" w:firstColumn="0" w:lastColumn="0" w:oddVBand="0" w:evenVBand="0" w:oddHBand="0" w:evenHBand="0" w:firstRowFirstColumn="0" w:firstRowLastColumn="0" w:lastRowFirstColumn="0" w:lastRowLastColumn="0"/>
              <w:rPr>
                <w:rFonts w:eastAsia="Arial"/>
                <w:lang w:val="en-GB"/>
              </w:rPr>
            </w:pPr>
            <w:r w:rsidRPr="00142C9F">
              <w:rPr>
                <w:rFonts w:eastAsia="Arial"/>
                <w:lang w:val="en-GB"/>
              </w:rPr>
              <w:t>More than 410,000 visitors to Council’s 22 pools</w:t>
            </w:r>
            <w:r>
              <w:rPr>
                <w:rFonts w:eastAsia="Arial"/>
                <w:lang w:val="en-GB"/>
              </w:rPr>
              <w:t>.</w:t>
            </w:r>
          </w:p>
          <w:p w14:paraId="717B8A4A" w14:textId="33A9B41B" w:rsidR="00142C9F" w:rsidRPr="00593B6D" w:rsidRDefault="00142C9F" w:rsidP="00EE10D2">
            <w:pPr>
              <w:cnfStyle w:val="000000000000" w:firstRow="0" w:lastRow="0" w:firstColumn="0" w:lastColumn="0" w:oddVBand="0" w:evenVBand="0" w:oddHBand="0" w:evenHBand="0" w:firstRowFirstColumn="0" w:firstRowLastColumn="0" w:lastRowFirstColumn="0" w:lastRowLastColumn="0"/>
              <w:rPr>
                <w:rFonts w:eastAsia="Arial"/>
                <w:lang w:val="en-GB"/>
              </w:rPr>
            </w:pPr>
          </w:p>
        </w:tc>
      </w:tr>
      <w:tr w:rsidR="002F143B" w:rsidRPr="00ED3210" w14:paraId="426630C5" w14:textId="77777777" w:rsidTr="007C2BBE">
        <w:trPr>
          <w:cnfStyle w:val="000000100000" w:firstRow="0" w:lastRow="0" w:firstColumn="0" w:lastColumn="0" w:oddVBand="0" w:evenVBand="0" w:oddHBand="1" w:evenHBand="0" w:firstRowFirstColumn="0" w:firstRowLastColumn="0" w:lastRowFirstColumn="0" w:lastRowLastColumn="0"/>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38A06709" w14:textId="69F966A3" w:rsidR="002F143B" w:rsidRPr="00D23CD1" w:rsidRDefault="002F143B" w:rsidP="00EE10D2">
            <w:pPr>
              <w:rPr>
                <w:b w:val="0"/>
                <w:noProof/>
                <w:snapToGrid w:val="0"/>
                <w:sz w:val="20"/>
                <w:lang w:val="en-US"/>
              </w:rPr>
            </w:pPr>
            <w:r w:rsidRPr="098DDC0F">
              <w:t>City Engagement</w:t>
            </w:r>
          </w:p>
        </w:tc>
        <w:tc>
          <w:tcPr>
            <w:tcW w:w="7229" w:type="dxa"/>
            <w:tcBorders>
              <w:top w:val="none" w:sz="0" w:space="0" w:color="auto"/>
              <w:bottom w:val="none" w:sz="0" w:space="0" w:color="auto"/>
            </w:tcBorders>
          </w:tcPr>
          <w:p w14:paraId="2FED32A0" w14:textId="58218917" w:rsidR="00142C9F" w:rsidRPr="00142C9F" w:rsidRDefault="00142C9F" w:rsidP="00EE10D2">
            <w:pPr>
              <w:cnfStyle w:val="000000100000" w:firstRow="0" w:lastRow="0" w:firstColumn="0" w:lastColumn="0" w:oddVBand="0" w:evenVBand="0" w:oddHBand="1" w:evenHBand="0" w:firstRowFirstColumn="0" w:firstRowLastColumn="0" w:lastRowFirstColumn="0" w:lastRowLastColumn="0"/>
              <w:rPr>
                <w:rFonts w:eastAsia="Arial"/>
                <w:lang w:val="en-GB"/>
              </w:rPr>
            </w:pPr>
            <w:r w:rsidRPr="00142C9F">
              <w:rPr>
                <w:rFonts w:eastAsia="Arial"/>
                <w:lang w:val="en-GB"/>
              </w:rPr>
              <w:t>More than 16,200 site visits to Your</w:t>
            </w:r>
            <w:r w:rsidR="00A26CB0">
              <w:rPr>
                <w:rFonts w:eastAsia="Arial"/>
                <w:lang w:val="en-GB"/>
              </w:rPr>
              <w:t xml:space="preserve"> City Your Say </w:t>
            </w:r>
            <w:r w:rsidRPr="00142C9F">
              <w:rPr>
                <w:rFonts w:eastAsia="Arial"/>
                <w:lang w:val="en-GB"/>
              </w:rPr>
              <w:t xml:space="preserve">online engagement platform since July 2022. </w:t>
            </w:r>
          </w:p>
          <w:p w14:paraId="4CF745CA" w14:textId="77777777" w:rsidR="002F4E8B" w:rsidRDefault="00142C9F" w:rsidP="00EE10D2">
            <w:pPr>
              <w:cnfStyle w:val="000000100000" w:firstRow="0" w:lastRow="0" w:firstColumn="0" w:lastColumn="0" w:oddVBand="0" w:evenVBand="0" w:oddHBand="1" w:evenHBand="0" w:firstRowFirstColumn="0" w:firstRowLastColumn="0" w:lastRowFirstColumn="0" w:lastRowLastColumn="0"/>
              <w:rPr>
                <w:rFonts w:eastAsia="Arial"/>
                <w:lang w:val="en-GB"/>
              </w:rPr>
            </w:pPr>
            <w:r w:rsidRPr="00142C9F">
              <w:rPr>
                <w:rFonts w:eastAsia="Arial"/>
                <w:lang w:val="en-GB"/>
              </w:rPr>
              <w:t>Your City Your Say program membership increased from 13,086 to 13,573 since July 2022.</w:t>
            </w:r>
          </w:p>
          <w:p w14:paraId="7C9D878D" w14:textId="12B88C9E" w:rsidR="00142C9F" w:rsidRPr="00593B6D" w:rsidRDefault="00142C9F" w:rsidP="00EE10D2">
            <w:pPr>
              <w:cnfStyle w:val="000000100000" w:firstRow="0" w:lastRow="0" w:firstColumn="0" w:lastColumn="0" w:oddVBand="0" w:evenVBand="0" w:oddHBand="1" w:evenHBand="0" w:firstRowFirstColumn="0" w:firstRowLastColumn="0" w:lastRowFirstColumn="0" w:lastRowLastColumn="0"/>
              <w:rPr>
                <w:rFonts w:eastAsia="Arial"/>
                <w:lang w:val="en-GB"/>
              </w:rPr>
            </w:pPr>
          </w:p>
        </w:tc>
      </w:tr>
      <w:tr w:rsidR="002F143B" w:rsidRPr="00ED3210" w14:paraId="588D3FF3" w14:textId="77777777" w:rsidTr="007C2BBE">
        <w:trPr>
          <w:cantSplit/>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43B26CF7" w14:textId="69A3DB9A" w:rsidR="002F143B" w:rsidRPr="00D23CD1" w:rsidRDefault="002F143B" w:rsidP="00EE10D2">
            <w:pPr>
              <w:rPr>
                <w:b w:val="0"/>
                <w:noProof/>
                <w:snapToGrid w:val="0"/>
                <w:sz w:val="20"/>
                <w:lang w:val="en-US"/>
              </w:rPr>
            </w:pPr>
            <w:r w:rsidRPr="098DDC0F">
              <w:t>Develop and Deliver Customer Services</w:t>
            </w:r>
          </w:p>
        </w:tc>
        <w:tc>
          <w:tcPr>
            <w:tcW w:w="7229" w:type="dxa"/>
          </w:tcPr>
          <w:p w14:paraId="69397537" w14:textId="3AE1940B" w:rsidR="00142C9F" w:rsidRPr="00142C9F" w:rsidRDefault="00142C9F" w:rsidP="00EE10D2">
            <w:pPr>
              <w:cnfStyle w:val="000000000000" w:firstRow="0" w:lastRow="0" w:firstColumn="0" w:lastColumn="0" w:oddVBand="0" w:evenVBand="0" w:oddHBand="0" w:evenHBand="0" w:firstRowFirstColumn="0" w:firstRowLastColumn="0" w:lastRowFirstColumn="0" w:lastRowLastColumn="0"/>
              <w:rPr>
                <w:rFonts w:eastAsia="Arial"/>
                <w:lang w:val="en-GB"/>
              </w:rPr>
            </w:pPr>
            <w:r w:rsidRPr="00142C9F">
              <w:rPr>
                <w:rFonts w:eastAsia="Arial"/>
                <w:lang w:val="en-GB"/>
              </w:rPr>
              <w:t>Approved 106 filming approvals through the Business Hotline.</w:t>
            </w:r>
          </w:p>
          <w:p w14:paraId="5C52C0AE" w14:textId="48C5EDBD" w:rsidR="00142C9F" w:rsidRPr="00142C9F" w:rsidRDefault="00142C9F" w:rsidP="00EE10D2">
            <w:pPr>
              <w:cnfStyle w:val="000000000000" w:firstRow="0" w:lastRow="0" w:firstColumn="0" w:lastColumn="0" w:oddVBand="0" w:evenVBand="0" w:oddHBand="0" w:evenHBand="0" w:firstRowFirstColumn="0" w:firstRowLastColumn="0" w:lastRowFirstColumn="0" w:lastRowLastColumn="0"/>
              <w:rPr>
                <w:rFonts w:eastAsia="Arial"/>
                <w:lang w:val="en-GB"/>
              </w:rPr>
            </w:pPr>
            <w:r w:rsidRPr="00142C9F">
              <w:rPr>
                <w:rFonts w:eastAsia="Arial"/>
                <w:lang w:val="en-GB"/>
              </w:rPr>
              <w:t>Promoted 55 not-for-profit organisations, community and cultural events and awareness campaigns by lighting up Council assets, such as Orange Sky July, State of Origin, Ekka and the Centenary of Queensland Country Women’s Association.</w:t>
            </w:r>
          </w:p>
          <w:p w14:paraId="64079A55" w14:textId="77777777" w:rsidR="002F143B" w:rsidRPr="00142C9F" w:rsidRDefault="00142C9F" w:rsidP="00EE10D2">
            <w:pPr>
              <w:cnfStyle w:val="000000000000" w:firstRow="0" w:lastRow="0" w:firstColumn="0" w:lastColumn="0" w:oddVBand="0" w:evenVBand="0" w:oddHBand="0" w:evenHBand="0" w:firstRowFirstColumn="0" w:firstRowLastColumn="0" w:lastRowFirstColumn="0" w:lastRowLastColumn="0"/>
              <w:rPr>
                <w:bCs/>
                <w:noProof/>
                <w:snapToGrid w:val="0"/>
                <w:szCs w:val="24"/>
                <w:lang w:val="en-US"/>
              </w:rPr>
            </w:pPr>
            <w:r w:rsidRPr="00142C9F">
              <w:rPr>
                <w:rFonts w:eastAsia="Arial"/>
                <w:lang w:val="en-GB"/>
              </w:rPr>
              <w:t>Council’s Contact Centre maintained high satisfaction ratings for customers with 94% overall satisfaction with the service provided by Contact Centre consultants.</w:t>
            </w:r>
          </w:p>
          <w:p w14:paraId="2F0B1E11" w14:textId="764584E1" w:rsidR="00142C9F" w:rsidRPr="002F4E8B" w:rsidRDefault="00142C9F" w:rsidP="00EE10D2">
            <w:pPr>
              <w:cnfStyle w:val="000000000000" w:firstRow="0" w:lastRow="0" w:firstColumn="0" w:lastColumn="0" w:oddVBand="0" w:evenVBand="0" w:oddHBand="0" w:evenHBand="0" w:firstRowFirstColumn="0" w:firstRowLastColumn="0" w:lastRowFirstColumn="0" w:lastRowLastColumn="0"/>
              <w:rPr>
                <w:bCs/>
                <w:noProof/>
                <w:snapToGrid w:val="0"/>
                <w:szCs w:val="24"/>
                <w:lang w:val="en-US"/>
              </w:rPr>
            </w:pPr>
          </w:p>
        </w:tc>
      </w:tr>
    </w:tbl>
    <w:p w14:paraId="7DAA6211" w14:textId="77777777" w:rsidR="00516011" w:rsidRDefault="00516011">
      <w:pPr>
        <w:sectPr w:rsidR="00516011" w:rsidSect="0013507F">
          <w:footerReference w:type="default" r:id="rId38"/>
          <w:pgSz w:w="11900" w:h="16840"/>
          <w:pgMar w:top="1440" w:right="1134" w:bottom="1440" w:left="1134" w:header="709" w:footer="709" w:gutter="0"/>
          <w:cols w:space="708"/>
          <w:docGrid w:linePitch="360"/>
        </w:sectPr>
      </w:pPr>
    </w:p>
    <w:p w14:paraId="3042D7D9" w14:textId="699E7C79" w:rsidR="00BE34DF" w:rsidRDefault="00BE34DF" w:rsidP="0057257F">
      <w:pPr>
        <w:pStyle w:val="Heading3"/>
      </w:pPr>
      <w:bookmarkStart w:id="30" w:name="_Toc127436759"/>
      <w:r w:rsidRPr="002F4E8B">
        <w:lastRenderedPageBreak/>
        <w:t>Program 6 – City Standards, Community Health and Safety</w:t>
      </w:r>
      <w:bookmarkEnd w:id="30"/>
    </w:p>
    <w:p w14:paraId="001A216D" w14:textId="77777777" w:rsidR="002F4E8B" w:rsidRPr="002F4E8B" w:rsidRDefault="002F4E8B" w:rsidP="002F4E8B">
      <w:pPr>
        <w:rPr>
          <w:lang w:val="en-AU"/>
        </w:rPr>
      </w:pPr>
    </w:p>
    <w:p w14:paraId="082E1828" w14:textId="778D6F3D" w:rsidR="00BD7EB2" w:rsidRDefault="004D36CF" w:rsidP="00BE34DF">
      <w:pPr>
        <w:jc w:val="center"/>
        <w:rPr>
          <w:noProof/>
          <w:color w:val="2B579A"/>
          <w:shd w:val="clear" w:color="auto" w:fill="E6E6E6"/>
        </w:rPr>
      </w:pPr>
      <w:r>
        <w:rPr>
          <w:noProof/>
        </w:rPr>
        <w:drawing>
          <wp:inline distT="0" distB="0" distL="0" distR="0" wp14:anchorId="4B164438" wp14:editId="1C8F254B">
            <wp:extent cx="6116320" cy="1684020"/>
            <wp:effectExtent l="0" t="0" r="0" b="0"/>
            <wp:docPr id="21" name="Picture 7" descr="This graph shows Program 6 – City Standards, Community Health and safety revenue, operating expenses and capital expenditure for the period ended September 2022, against the approved annual budget.&#10;&#10;Revenue&#10;$69.6 million (actual)&#10;$284.8 million (approved annual budget)&#10;&#10;Operating expenses&#10;$117.2 million (actual)&#10;$489.0 million (approved annual budget)&#10;&#10;Capital expenditure&#10;$5.8 million (actual)&#10;$44.2 million (approved annual budget)&#10;">
              <a:extLst xmlns:a="http://schemas.openxmlformats.org/drawingml/2006/main">
                <a:ext uri="{FF2B5EF4-FFF2-40B4-BE49-F238E27FC236}">
                  <a16:creationId xmlns:a16="http://schemas.microsoft.com/office/drawing/2014/main" id="{D0337782-E4AF-4F93-9BCE-540271908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 descr="This graph shows Program 6 – City Standards, Community Health and safety revenue, operating expenses and capital expenditure for the period ended September 2022, against the approved annual budget.&#10;&#10;Revenue&#10;$69.6 million (actual)&#10;$284.8 million (approved annual budget)&#10;&#10;Operating expenses&#10;$117.2 million (actual)&#10;$489.0 million (approved annual budget)&#10;&#10;Capital expenditure&#10;$5.8 million (actual)&#10;$44.2 million (approved annual budget)&#10;">
                      <a:extLst>
                        <a:ext uri="{FF2B5EF4-FFF2-40B4-BE49-F238E27FC236}">
                          <a16:creationId xmlns:a16="http://schemas.microsoft.com/office/drawing/2014/main" id="{D0337782-E4AF-4F93-9BCE-5402719088A5}"/>
                        </a:ext>
                      </a:extLst>
                    </pic:cNvPr>
                    <pic:cNvPicPr>
                      <a:picLocks noChangeAspect="1"/>
                    </pic:cNvPicPr>
                  </pic:nvPicPr>
                  <pic:blipFill>
                    <a:blip r:embed="rId39"/>
                    <a:stretch>
                      <a:fillRect/>
                    </a:stretch>
                  </pic:blipFill>
                  <pic:spPr>
                    <a:xfrm>
                      <a:off x="0" y="0"/>
                      <a:ext cx="6116320" cy="1684020"/>
                    </a:xfrm>
                    <a:prstGeom prst="rect">
                      <a:avLst/>
                    </a:prstGeom>
                  </pic:spPr>
                </pic:pic>
              </a:graphicData>
            </a:graphic>
          </wp:inline>
        </w:drawing>
      </w:r>
    </w:p>
    <w:p w14:paraId="584AE104" w14:textId="72EA6F29" w:rsidR="00BE34DF" w:rsidRDefault="00BE34DF" w:rsidP="00BE34DF">
      <w:pPr>
        <w:jc w:val="center"/>
        <w:rPr>
          <w:rFonts w:cs="Arial"/>
          <w:b/>
          <w:bCs/>
          <w:sz w:val="20"/>
          <w:szCs w:val="20"/>
        </w:rPr>
      </w:pPr>
    </w:p>
    <w:p w14:paraId="60C97D27" w14:textId="0497D7F8" w:rsidR="00BE34DF" w:rsidRDefault="00BE34DF" w:rsidP="00EE10D2">
      <w:pPr>
        <w:pStyle w:val="Heading4black"/>
      </w:pPr>
      <w:r w:rsidRPr="002F4E8B">
        <w:t>Program financial results</w:t>
      </w:r>
    </w:p>
    <w:p w14:paraId="5044E636" w14:textId="77777777" w:rsidR="002F4E8B" w:rsidRPr="002F4E8B" w:rsidRDefault="002F4E8B" w:rsidP="00EE10D2"/>
    <w:p w14:paraId="04AD53BE" w14:textId="05C92AC0" w:rsidR="006D7923" w:rsidRPr="0089143C" w:rsidRDefault="006D7923" w:rsidP="00EE10D2">
      <w:r w:rsidRPr="0089143C">
        <w:t xml:space="preserve">Revenue is below budget during the period mainly due </w:t>
      </w:r>
      <w:r w:rsidRPr="00254526">
        <w:t xml:space="preserve">to </w:t>
      </w:r>
      <w:r w:rsidR="00BB71FE" w:rsidRPr="00254526">
        <w:t>rephased</w:t>
      </w:r>
      <w:r w:rsidRPr="00254526">
        <w:t xml:space="preserve"> fees and charges mainly relating to parking infringements. </w:t>
      </w:r>
      <w:r w:rsidR="00BB71FE" w:rsidRPr="00254526">
        <w:t>This will continue to be monitored throughout the year and be adjusted at a future budget review if required.</w:t>
      </w:r>
    </w:p>
    <w:p w14:paraId="087241D2" w14:textId="77777777" w:rsidR="006D7923" w:rsidRPr="006D7923" w:rsidRDefault="006D7923" w:rsidP="00EE10D2">
      <w:pPr>
        <w:rPr>
          <w:rFonts w:cs="Arial"/>
        </w:rPr>
      </w:pPr>
    </w:p>
    <w:p w14:paraId="2253C5B2" w14:textId="45893D10" w:rsidR="006D7923" w:rsidRPr="0089143C" w:rsidRDefault="006D7923" w:rsidP="00EE10D2">
      <w:r w:rsidRPr="0089143C">
        <w:t>Operating expenses are below budget during the period mainly due to:</w:t>
      </w:r>
    </w:p>
    <w:p w14:paraId="02D3FE2E" w14:textId="3D91494A" w:rsidR="006D7923" w:rsidRPr="0089143C" w:rsidRDefault="006D7923" w:rsidP="00EE10D2">
      <w:r w:rsidRPr="0089143C">
        <w:t xml:space="preserve">Rephased expenditure in the Community Health strategy, mainly relating to the Workload Management System Replacement project. </w:t>
      </w:r>
    </w:p>
    <w:p w14:paraId="19CAED40" w14:textId="56826076" w:rsidR="006D7923" w:rsidRPr="0089143C" w:rsidRDefault="006D7923" w:rsidP="00EE10D2">
      <w:r w:rsidRPr="0089143C">
        <w:t>Rephased expenditure in the Trees and Parks Maintenance strategy. This will continue to be monitored throughout the year.</w:t>
      </w:r>
    </w:p>
    <w:p w14:paraId="18FC6F1F" w14:textId="03590825" w:rsidR="006D7923" w:rsidRPr="0089143C" w:rsidRDefault="006D7923" w:rsidP="00EE10D2">
      <w:r w:rsidRPr="0089143C">
        <w:t xml:space="preserve">Rephased expenditure in the Effective Waste Stream Management and Reduction strategy. </w:t>
      </w:r>
    </w:p>
    <w:p w14:paraId="273FAB97" w14:textId="77777777" w:rsidR="006D7923" w:rsidRPr="006D7923" w:rsidRDefault="006D7923" w:rsidP="00EE10D2">
      <w:pPr>
        <w:rPr>
          <w:rFonts w:cs="Arial"/>
        </w:rPr>
      </w:pPr>
      <w:r w:rsidRPr="006D7923">
        <w:rPr>
          <w:rFonts w:cs="Arial"/>
        </w:rPr>
        <w:t xml:space="preserve"> </w:t>
      </w:r>
    </w:p>
    <w:p w14:paraId="50A68397" w14:textId="3CF872B1" w:rsidR="006D7923" w:rsidRPr="006D7923" w:rsidRDefault="006D7923" w:rsidP="00EE10D2">
      <w:pPr>
        <w:rPr>
          <w:rFonts w:cs="Arial"/>
        </w:rPr>
      </w:pPr>
      <w:r w:rsidRPr="006D7923">
        <w:rPr>
          <w:rFonts w:cs="Arial"/>
        </w:rPr>
        <w:t>Capital expenditure is below budget during the period mainly due to:</w:t>
      </w:r>
    </w:p>
    <w:p w14:paraId="1F13197D" w14:textId="1D8A4A1E" w:rsidR="006D7923" w:rsidRPr="0089143C" w:rsidRDefault="006D7923" w:rsidP="00EE10D2">
      <w:r w:rsidRPr="0089143C">
        <w:t xml:space="preserve">Rephased expenditure in the Maintaining the City Infrastructure strategy, mainly relating to the Footpath and Bikeway Reconstruction and the Suburban Enhancement Fund projects. </w:t>
      </w:r>
    </w:p>
    <w:p w14:paraId="3AC59DE3" w14:textId="7E6C9380" w:rsidR="006D7923" w:rsidRPr="0089143C" w:rsidRDefault="006D7923" w:rsidP="00EE10D2">
      <w:r w:rsidRPr="0089143C">
        <w:t xml:space="preserve">Rephased expenditure in the Effective Waste Stream Management and Reduction strategy, mainly relating to the Brisbane Landfill Optimisation project. </w:t>
      </w:r>
    </w:p>
    <w:p w14:paraId="4A46E043" w14:textId="77777777" w:rsidR="006D7923" w:rsidRPr="006D7923" w:rsidRDefault="006D7923" w:rsidP="00EE10D2">
      <w:pPr>
        <w:rPr>
          <w:rFonts w:cs="Arial"/>
        </w:rPr>
      </w:pPr>
    </w:p>
    <w:p w14:paraId="119D1F4D" w14:textId="1C16392B" w:rsidR="00D641BE" w:rsidRPr="0089143C" w:rsidRDefault="006D7923" w:rsidP="00EE10D2">
      <w:r w:rsidRPr="0089143C">
        <w:t>Operating and capital expenditure are expected to materially align with the annual budget at the end of the financial year.</w:t>
      </w:r>
    </w:p>
    <w:p w14:paraId="116A0188" w14:textId="77777777" w:rsidR="00BE34DF" w:rsidRDefault="00BE34DF" w:rsidP="00BE34DF">
      <w:pPr>
        <w:jc w:val="both"/>
        <w:rPr>
          <w:noProof/>
        </w:rPr>
      </w:pPr>
    </w:p>
    <w:p w14:paraId="4A401704" w14:textId="487619CC" w:rsidR="00962669" w:rsidRDefault="005E2375" w:rsidP="005E2375">
      <w:pPr>
        <w:jc w:val="center"/>
        <w:rPr>
          <w:rFonts w:cs="Arial"/>
          <w:b/>
          <w:bCs/>
          <w:color w:val="0067B1"/>
          <w:szCs w:val="22"/>
          <w:lang w:val="en-AU"/>
        </w:rPr>
      </w:pPr>
      <w:r>
        <w:rPr>
          <w:noProof/>
        </w:rPr>
        <w:drawing>
          <wp:inline distT="0" distB="0" distL="0" distR="0" wp14:anchorId="1767B890" wp14:editId="1CA46A87">
            <wp:extent cx="6029325" cy="2076450"/>
            <wp:effectExtent l="0" t="0" r="9525" b="0"/>
            <wp:docPr id="12" name="Picture 12" descr="This graph shows Program 6 – City Standards, Community Health and safety total expenses (operating and capital) by strategy for the period ended September 2022.&#10;&#10;Effective Waste Stream Management and Reduction $44.1 million&#10;Maintaining the City Infrastructure $32.9 million&#10;Trees and Parks Maintenance $20.1 million&#10;Managing and Enforcing the Network $9.4 million&#10;Community Health $5.4 million&#10;Other strategies $11.0 million&#10;Total expenses by strategy (operating and capital) $123.0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graph shows Program 6 – City Standards, Community Health and safety total expenses (operating and capital) by strategy for the period ended September 2022.&#10;&#10;Effective Waste Stream Management and Reduction $44.1 million&#10;Maintaining the City Infrastructure $32.9 million&#10;Trees and Parks Maintenance $20.1 million&#10;Managing and Enforcing the Network $9.4 million&#10;Community Health $5.4 million&#10;Other strategies $11.0 million&#10;Total expenses by strategy (operating and capital) $123.0 million"/>
                    <pic:cNvPicPr/>
                  </pic:nvPicPr>
                  <pic:blipFill>
                    <a:blip r:embed="rId40"/>
                    <a:stretch>
                      <a:fillRect/>
                    </a:stretch>
                  </pic:blipFill>
                  <pic:spPr>
                    <a:xfrm>
                      <a:off x="0" y="0"/>
                      <a:ext cx="6029325" cy="2076450"/>
                    </a:xfrm>
                    <a:prstGeom prst="rect">
                      <a:avLst/>
                    </a:prstGeom>
                  </pic:spPr>
                </pic:pic>
              </a:graphicData>
            </a:graphic>
          </wp:inline>
        </w:drawing>
      </w:r>
      <w:r>
        <w:rPr>
          <w:rFonts w:cs="Arial"/>
          <w:b/>
          <w:bCs/>
          <w:color w:val="0067B1"/>
          <w:szCs w:val="22"/>
          <w:lang w:val="en-AU"/>
        </w:rPr>
        <w:t xml:space="preserve"> </w:t>
      </w:r>
      <w:r w:rsidR="00962669">
        <w:rPr>
          <w:rFonts w:cs="Arial"/>
          <w:b/>
          <w:bCs/>
          <w:color w:val="0067B1"/>
          <w:szCs w:val="22"/>
          <w:lang w:val="en-AU"/>
        </w:rPr>
        <w:br w:type="page"/>
      </w:r>
    </w:p>
    <w:p w14:paraId="32997918" w14:textId="2AC99244" w:rsidR="00B31571" w:rsidRDefault="00B31571" w:rsidP="00EE10D2">
      <w:pPr>
        <w:pStyle w:val="Heading4black"/>
      </w:pPr>
      <w:r w:rsidRPr="002F4E8B">
        <w:lastRenderedPageBreak/>
        <w:t>Highlights and updates on key program strategies from the Annual Operational Plan</w:t>
      </w:r>
    </w:p>
    <w:p w14:paraId="11FD04E3" w14:textId="77777777" w:rsidR="002F4E8B" w:rsidRPr="002F4E8B" w:rsidRDefault="002F4E8B" w:rsidP="002F4E8B">
      <w:pPr>
        <w:pStyle w:val="NormalCouncilblue"/>
        <w:spacing w:after="0" w:line="240" w:lineRule="auto"/>
        <w:rPr>
          <w:b/>
          <w:bCs/>
        </w:rPr>
      </w:pPr>
    </w:p>
    <w:tbl>
      <w:tblPr>
        <w:tblStyle w:val="ListTable3-Accent1"/>
        <w:tblW w:w="9634" w:type="dxa"/>
        <w:tblBorders>
          <w:top w:val="single" w:sz="4" w:space="0" w:color="0067B1"/>
          <w:left w:val="single" w:sz="4" w:space="0" w:color="0067B1"/>
          <w:bottom w:val="single" w:sz="4" w:space="0" w:color="0067B1"/>
          <w:right w:val="single" w:sz="4" w:space="0" w:color="0067B1"/>
          <w:insideH w:val="single" w:sz="4" w:space="0" w:color="0067B1"/>
          <w:insideV w:val="single" w:sz="4" w:space="0" w:color="0067B1"/>
        </w:tblBorders>
        <w:tblLook w:val="04A0" w:firstRow="1" w:lastRow="0" w:firstColumn="1" w:lastColumn="0" w:noHBand="0" w:noVBand="1"/>
        <w:tblCaption w:val="HIghlights and updates on key program strategies from the annual operational plan"/>
        <w:tblDescription w:val="Strategy, Highlights and Updates&#10;Maintaining the city infrastructure&#10;Cut 1300 hectares of grass across roadside, parks and verges. Maintained 673 square metres of bikeways across Brisbane. Graded 34,350 square metres of unpaved roads across Brisbane. Completed planned maintenance across approximately 7491square metres of road pavement and reactive maintenance across more than 7623 potholes. &#10;Trees and Parks maintenance &#10;Cut 70,000 hectares of grass across Council parks.&#10;Effective waste stream management and reduction&#10;Diverted 6800 tonnes of green waste from landfill through household green top bins. Diverted more than 17,000 tonnes of recyclables from landfill through household yellow top bins. Facilitated online training through the Waste Smart Kindy program for 110 educators. Rescheduled Go-live for the Integrated Customer Contact System Replacement from October to late November 2022. The duration of the system integration testing has taken longer than planned. Brisbane Landfill Optimisation – Cell 8 flood rectification work and weather proofing will be completed at the end of October 2022.Project is on track for completion by the end of the calendar year.&#10;Community health&#10;Conducted 1295 Eat Safe Brisbane food safety audits, with 85% of Brisbane’s licenced food businesses rated 3 stars and above. Vaccination of 1425 infants at Council immunisation clinics.&#10;"/>
      </w:tblPr>
      <w:tblGrid>
        <w:gridCol w:w="2405"/>
        <w:gridCol w:w="7229"/>
      </w:tblGrid>
      <w:tr w:rsidR="00B31571" w:rsidRPr="00ED3210" w14:paraId="59163F08" w14:textId="77777777" w:rsidTr="008E1FD1">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shd w:val="clear" w:color="auto" w:fill="0067B1"/>
          </w:tcPr>
          <w:p w14:paraId="2F66FB6F" w14:textId="77777777" w:rsidR="00B31571" w:rsidRPr="00A71510" w:rsidRDefault="00B31571" w:rsidP="00EE10D2">
            <w:pPr>
              <w:rPr>
                <w:color w:val="0070C0"/>
              </w:rPr>
            </w:pPr>
            <w:r w:rsidRPr="00A71510">
              <w:t>Strategy</w:t>
            </w:r>
          </w:p>
        </w:tc>
        <w:tc>
          <w:tcPr>
            <w:tcW w:w="7229" w:type="dxa"/>
            <w:shd w:val="clear" w:color="auto" w:fill="0067B1"/>
          </w:tcPr>
          <w:p w14:paraId="1CC8A95E" w14:textId="77777777" w:rsidR="00B31571" w:rsidRPr="00ED3210" w:rsidRDefault="00B31571" w:rsidP="00EE10D2">
            <w:pPr>
              <w:cnfStyle w:val="100000000000" w:firstRow="1" w:lastRow="0" w:firstColumn="0" w:lastColumn="0" w:oddVBand="0" w:evenVBand="0" w:oddHBand="0" w:evenHBand="0" w:firstRowFirstColumn="0" w:firstRowLastColumn="0" w:lastRowFirstColumn="0" w:lastRowLastColumn="0"/>
              <w:rPr>
                <w:color w:val="auto"/>
              </w:rPr>
            </w:pPr>
            <w:r>
              <w:t>Highlights and updates</w:t>
            </w:r>
          </w:p>
        </w:tc>
      </w:tr>
      <w:tr w:rsidR="002F143B" w:rsidRPr="00ED3210" w14:paraId="68BFF7B2" w14:textId="77777777" w:rsidTr="008E1FD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29A171D0" w14:textId="77777777" w:rsidR="002F143B" w:rsidRPr="00F22D4C" w:rsidRDefault="002F143B" w:rsidP="00EE10D2">
            <w:pPr>
              <w:rPr>
                <w:rFonts w:eastAsia="Calibri"/>
              </w:rPr>
            </w:pPr>
            <w:r w:rsidRPr="2FC622B1">
              <w:t>Maintaining the City Infrastructure</w:t>
            </w:r>
          </w:p>
          <w:p w14:paraId="457D0579" w14:textId="10C57F7D" w:rsidR="002F143B" w:rsidRPr="00D23CD1" w:rsidRDefault="002F143B" w:rsidP="00EE10D2">
            <w:pPr>
              <w:rPr>
                <w:b w:val="0"/>
                <w:noProof/>
                <w:snapToGrid w:val="0"/>
                <w:sz w:val="20"/>
                <w:lang w:val="en-US"/>
              </w:rPr>
            </w:pPr>
          </w:p>
        </w:tc>
        <w:tc>
          <w:tcPr>
            <w:tcW w:w="7229" w:type="dxa"/>
            <w:tcBorders>
              <w:top w:val="none" w:sz="0" w:space="0" w:color="auto"/>
              <w:bottom w:val="none" w:sz="0" w:space="0" w:color="auto"/>
            </w:tcBorders>
          </w:tcPr>
          <w:p w14:paraId="309EDCC2" w14:textId="77777777" w:rsidR="0089143C" w:rsidRPr="0089143C" w:rsidRDefault="0089143C"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89143C">
              <w:rPr>
                <w:rFonts w:eastAsiaTheme="minorEastAsia"/>
              </w:rPr>
              <w:t>Cut 1300 hectares of grass across roadside, parks and verges.</w:t>
            </w:r>
          </w:p>
          <w:p w14:paraId="5987DB89" w14:textId="77777777" w:rsidR="0089143C" w:rsidRPr="0089143C" w:rsidRDefault="0089143C"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89143C">
              <w:rPr>
                <w:rFonts w:eastAsiaTheme="minorEastAsia"/>
              </w:rPr>
              <w:t xml:space="preserve">Maintained 673 square metres of bikeways across Brisbane. </w:t>
            </w:r>
          </w:p>
          <w:p w14:paraId="4BFE0789" w14:textId="77777777" w:rsidR="0089143C" w:rsidRPr="0089143C" w:rsidRDefault="0089143C"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89143C">
              <w:rPr>
                <w:rFonts w:eastAsiaTheme="minorEastAsia"/>
              </w:rPr>
              <w:t xml:space="preserve">Graded 34,350 square metres of unpaved roads across Brisbane. </w:t>
            </w:r>
          </w:p>
          <w:p w14:paraId="49008DBB" w14:textId="77777777" w:rsidR="002F4E8B" w:rsidRPr="0089143C" w:rsidRDefault="0089143C" w:rsidP="00EE10D2">
            <w:pPr>
              <w:cnfStyle w:val="000000100000" w:firstRow="0" w:lastRow="0" w:firstColumn="0" w:lastColumn="0" w:oddVBand="0" w:evenVBand="0" w:oddHBand="1" w:evenHBand="0" w:firstRowFirstColumn="0" w:firstRowLastColumn="0" w:lastRowFirstColumn="0" w:lastRowLastColumn="0"/>
              <w:rPr>
                <w:noProof/>
                <w:snapToGrid w:val="0"/>
                <w:szCs w:val="24"/>
                <w:lang w:val="en-US"/>
              </w:rPr>
            </w:pPr>
            <w:r w:rsidRPr="0089143C">
              <w:rPr>
                <w:rFonts w:eastAsiaTheme="minorEastAsia"/>
              </w:rPr>
              <w:t>Completed planned maintenance across approximately 7491 square metres of road pavement and reactive maintenance across more than 7623 potholes.</w:t>
            </w:r>
          </w:p>
          <w:p w14:paraId="615DDBA3" w14:textId="1376A0B9" w:rsidR="0089143C" w:rsidRPr="002F4E8B" w:rsidRDefault="0089143C" w:rsidP="00EE10D2">
            <w:pPr>
              <w:cnfStyle w:val="000000100000" w:firstRow="0" w:lastRow="0" w:firstColumn="0" w:lastColumn="0" w:oddVBand="0" w:evenVBand="0" w:oddHBand="1" w:evenHBand="0" w:firstRowFirstColumn="0" w:firstRowLastColumn="0" w:lastRowFirstColumn="0" w:lastRowLastColumn="0"/>
              <w:rPr>
                <w:noProof/>
                <w:snapToGrid w:val="0"/>
                <w:szCs w:val="24"/>
                <w:lang w:val="en-US"/>
              </w:rPr>
            </w:pPr>
          </w:p>
        </w:tc>
      </w:tr>
      <w:tr w:rsidR="002F143B" w:rsidRPr="00ED3210" w14:paraId="1984BA58" w14:textId="77777777" w:rsidTr="008E1FD1">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40C4340C" w14:textId="42298BEE" w:rsidR="002F143B" w:rsidRPr="00D23CD1" w:rsidRDefault="002F143B" w:rsidP="00EE10D2">
            <w:pPr>
              <w:rPr>
                <w:b w:val="0"/>
                <w:noProof/>
                <w:snapToGrid w:val="0"/>
                <w:sz w:val="20"/>
                <w:lang w:val="en-US"/>
              </w:rPr>
            </w:pPr>
            <w:r w:rsidRPr="3B63E1F3">
              <w:t>Trees and Parks Maintenance</w:t>
            </w:r>
          </w:p>
        </w:tc>
        <w:tc>
          <w:tcPr>
            <w:tcW w:w="7229" w:type="dxa"/>
          </w:tcPr>
          <w:p w14:paraId="420D766B" w14:textId="530419DB" w:rsidR="002F143B" w:rsidRPr="00D23CD1" w:rsidRDefault="0089143C" w:rsidP="00EE10D2">
            <w:pPr>
              <w:cnfStyle w:val="000000000000" w:firstRow="0" w:lastRow="0" w:firstColumn="0" w:lastColumn="0" w:oddVBand="0" w:evenVBand="0" w:oddHBand="0" w:evenHBand="0" w:firstRowFirstColumn="0" w:firstRowLastColumn="0" w:lastRowFirstColumn="0" w:lastRowLastColumn="0"/>
              <w:rPr>
                <w:noProof/>
                <w:snapToGrid w:val="0"/>
                <w:sz w:val="20"/>
                <w:lang w:val="en-US"/>
              </w:rPr>
            </w:pPr>
            <w:r w:rsidRPr="0089143C">
              <w:rPr>
                <w:rFonts w:eastAsiaTheme="minorEastAsia"/>
              </w:rPr>
              <w:t>Cut 70,000 hectares of grass across Council parks.</w:t>
            </w:r>
          </w:p>
        </w:tc>
      </w:tr>
      <w:tr w:rsidR="002F143B" w:rsidRPr="00ED3210" w14:paraId="508EA123" w14:textId="77777777" w:rsidTr="008E1FD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5B2835E6" w14:textId="01D29B0E" w:rsidR="002F143B" w:rsidRPr="00D23CD1" w:rsidRDefault="002F143B" w:rsidP="00EE10D2">
            <w:pPr>
              <w:rPr>
                <w:b w:val="0"/>
                <w:noProof/>
                <w:snapToGrid w:val="0"/>
                <w:sz w:val="20"/>
                <w:lang w:val="en-US"/>
              </w:rPr>
            </w:pPr>
            <w:r w:rsidRPr="3B63E1F3">
              <w:t>Effective Waste Stream Management and Reduction</w:t>
            </w:r>
          </w:p>
        </w:tc>
        <w:tc>
          <w:tcPr>
            <w:tcW w:w="7229" w:type="dxa"/>
          </w:tcPr>
          <w:p w14:paraId="31F3AAF7" w14:textId="6B5D23A5" w:rsidR="002D5B80" w:rsidRPr="002D5B80" w:rsidRDefault="002D5B80"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D5B80">
              <w:rPr>
                <w:rFonts w:eastAsiaTheme="minorEastAsia"/>
              </w:rPr>
              <w:t xml:space="preserve">Diverted 6800 tonnes of green waste from landfill through household green top bins. </w:t>
            </w:r>
          </w:p>
          <w:p w14:paraId="6BF28FFB" w14:textId="3838C55E" w:rsidR="002D5B80" w:rsidRPr="002D5B80" w:rsidRDefault="002D5B80"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D5B80">
              <w:rPr>
                <w:rFonts w:eastAsiaTheme="minorEastAsia"/>
              </w:rPr>
              <w:t xml:space="preserve">Diverted more than 17,000 tonnes of recyclables from landfill through household yellow top bins. </w:t>
            </w:r>
          </w:p>
          <w:p w14:paraId="538A909C" w14:textId="7948E04F" w:rsidR="002D5B80" w:rsidRPr="002D5B80" w:rsidRDefault="002D5B80"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D5B80">
              <w:rPr>
                <w:rFonts w:eastAsiaTheme="minorEastAsia"/>
              </w:rPr>
              <w:t xml:space="preserve">Facilitated online training through the Waste Smart Kindy program for 110 educators. </w:t>
            </w:r>
          </w:p>
          <w:p w14:paraId="05DA9767" w14:textId="47B12EC6" w:rsidR="002D5B80" w:rsidRPr="002D5B80" w:rsidRDefault="002D5B80"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2D5B80">
              <w:rPr>
                <w:rFonts w:eastAsiaTheme="minorEastAsia"/>
              </w:rPr>
              <w:t xml:space="preserve">Rescheduled Go-live for the Integrated Customer Contact System Replacement from October to late November 2022. The duration of the system integration testing has taken longer than planned.  </w:t>
            </w:r>
          </w:p>
          <w:p w14:paraId="733C542F" w14:textId="7357F8CF" w:rsidR="002F4E8B" w:rsidRPr="008E1FD1" w:rsidRDefault="002D5B80" w:rsidP="00EE10D2">
            <w:pPr>
              <w:cnfStyle w:val="000000100000" w:firstRow="0" w:lastRow="0" w:firstColumn="0" w:lastColumn="0" w:oddVBand="0" w:evenVBand="0" w:oddHBand="1" w:evenHBand="0" w:firstRowFirstColumn="0" w:firstRowLastColumn="0" w:lastRowFirstColumn="0" w:lastRowLastColumn="0"/>
              <w:rPr>
                <w:noProof/>
                <w:snapToGrid w:val="0"/>
                <w:szCs w:val="24"/>
                <w:lang w:val="en-US"/>
              </w:rPr>
            </w:pPr>
            <w:r w:rsidRPr="008E1FD1">
              <w:rPr>
                <w:rFonts w:eastAsiaTheme="minorEastAsia"/>
              </w:rPr>
              <w:t xml:space="preserve">Brisbane Landfill Optimisation </w:t>
            </w:r>
            <w:r w:rsidRPr="00F006DB">
              <w:t>–</w:t>
            </w:r>
            <w:r w:rsidRPr="008E1FD1">
              <w:rPr>
                <w:rFonts w:eastAsiaTheme="minorEastAsia"/>
              </w:rPr>
              <w:t xml:space="preserve"> Cell 8 flood rectification work and weather proofing will be completed at the end of October 2022. Project is on track for completion by the end of the calendar year.</w:t>
            </w:r>
          </w:p>
          <w:p w14:paraId="30A8A354" w14:textId="31646325" w:rsidR="002D5B80" w:rsidRPr="002F4E8B" w:rsidRDefault="002D5B80" w:rsidP="00EE10D2">
            <w:pPr>
              <w:cnfStyle w:val="000000100000" w:firstRow="0" w:lastRow="0" w:firstColumn="0" w:lastColumn="0" w:oddVBand="0" w:evenVBand="0" w:oddHBand="1" w:evenHBand="0" w:firstRowFirstColumn="0" w:firstRowLastColumn="0" w:lastRowFirstColumn="0" w:lastRowLastColumn="0"/>
              <w:rPr>
                <w:noProof/>
                <w:snapToGrid w:val="0"/>
                <w:szCs w:val="24"/>
                <w:lang w:val="en-US"/>
              </w:rPr>
            </w:pPr>
          </w:p>
        </w:tc>
      </w:tr>
      <w:tr w:rsidR="002F143B" w:rsidRPr="00ED3210" w14:paraId="2901CCFE" w14:textId="77777777" w:rsidTr="008E1FD1">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7BD30624" w14:textId="1CA77550" w:rsidR="002F143B" w:rsidRPr="00D23CD1" w:rsidRDefault="002F143B" w:rsidP="00EE10D2">
            <w:pPr>
              <w:rPr>
                <w:b w:val="0"/>
                <w:noProof/>
                <w:snapToGrid w:val="0"/>
                <w:sz w:val="20"/>
                <w:lang w:val="en-US"/>
              </w:rPr>
            </w:pPr>
            <w:r w:rsidRPr="1D618234">
              <w:t xml:space="preserve">Community Health </w:t>
            </w:r>
          </w:p>
        </w:tc>
        <w:tc>
          <w:tcPr>
            <w:tcW w:w="7229" w:type="dxa"/>
          </w:tcPr>
          <w:p w14:paraId="7120694C" w14:textId="4E722F19" w:rsidR="002D5B80" w:rsidRPr="002D5B80" w:rsidRDefault="002D5B80"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2D5B80">
              <w:rPr>
                <w:rFonts w:eastAsiaTheme="minorEastAsia"/>
              </w:rPr>
              <w:t xml:space="preserve">Conducted 1295 Eat Safe Brisbane food safety audits, with 85% of Brisbane’s licenced food businesses rated 3 stars and above. </w:t>
            </w:r>
          </w:p>
          <w:p w14:paraId="5B7B5050" w14:textId="77777777" w:rsidR="002F4E8B" w:rsidRPr="002D5B80" w:rsidRDefault="002D5B80" w:rsidP="00EE10D2">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2D5B80">
              <w:rPr>
                <w:rFonts w:eastAsiaTheme="minorEastAsia"/>
              </w:rPr>
              <w:t>Vaccination of 1425 infants at Council immunisation clinics.</w:t>
            </w:r>
          </w:p>
          <w:p w14:paraId="699F8D6F" w14:textId="5F6FB4E3" w:rsidR="002D5B80" w:rsidRPr="002F4E8B" w:rsidRDefault="002D5B80" w:rsidP="00EE10D2">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r>
    </w:tbl>
    <w:p w14:paraId="35A91EF2" w14:textId="77777777" w:rsidR="00516011" w:rsidRDefault="00516011">
      <w:pPr>
        <w:sectPr w:rsidR="00516011" w:rsidSect="0013507F">
          <w:footerReference w:type="default" r:id="rId41"/>
          <w:pgSz w:w="11900" w:h="16840"/>
          <w:pgMar w:top="1440" w:right="1134" w:bottom="1440" w:left="1134" w:header="709" w:footer="709" w:gutter="0"/>
          <w:cols w:space="708"/>
          <w:docGrid w:linePitch="360"/>
        </w:sectPr>
      </w:pPr>
    </w:p>
    <w:p w14:paraId="3B946F91" w14:textId="41F5103C" w:rsidR="00BE34DF" w:rsidRPr="002F4E8B" w:rsidRDefault="00BE34DF" w:rsidP="0057257F">
      <w:pPr>
        <w:pStyle w:val="Heading3"/>
        <w:rPr>
          <w:rFonts w:cs="Arial"/>
          <w:bCs/>
          <w:szCs w:val="28"/>
        </w:rPr>
      </w:pPr>
      <w:bookmarkStart w:id="31" w:name="_Toc127436760"/>
      <w:r w:rsidRPr="002F4E8B">
        <w:lastRenderedPageBreak/>
        <w:t>Program 7 – Economic Development</w:t>
      </w:r>
      <w:bookmarkEnd w:id="31"/>
    </w:p>
    <w:p w14:paraId="4888ECFC" w14:textId="7E64D28A" w:rsidR="00BE34DF" w:rsidRDefault="00BE34DF" w:rsidP="00BE34DF">
      <w:pPr>
        <w:jc w:val="center"/>
        <w:rPr>
          <w:noProof/>
          <w:color w:val="2B579A"/>
          <w:shd w:val="clear" w:color="auto" w:fill="E6E6E6"/>
        </w:rPr>
      </w:pPr>
    </w:p>
    <w:p w14:paraId="7CEDFA94" w14:textId="12A68BA6" w:rsidR="002F4E8B" w:rsidRDefault="004D36CF" w:rsidP="00BE34DF">
      <w:pPr>
        <w:jc w:val="center"/>
        <w:rPr>
          <w:noProof/>
          <w:color w:val="2B579A"/>
          <w:shd w:val="clear" w:color="auto" w:fill="E6E6E6"/>
        </w:rPr>
      </w:pPr>
      <w:r>
        <w:rPr>
          <w:noProof/>
        </w:rPr>
        <w:drawing>
          <wp:inline distT="0" distB="0" distL="0" distR="0" wp14:anchorId="1A4814F5" wp14:editId="0FCA0806">
            <wp:extent cx="6116320" cy="1673225"/>
            <wp:effectExtent l="0" t="0" r="0" b="3175"/>
            <wp:docPr id="22" name="Picture 8" descr="This graph shows Program 7 – Economic Development revenue, operating expenses and capital expenditure for the period ended September 2022, against the approved annual budget.&#10;&#10;Revenue&#10;$4.3 million (actual)&#10;$15.5 million (approved annual budget)&#10;&#10;Operating expenses&#10;$12.1 million (actual)&#10;$52.9 million (approved annual budget)&#10;&#10;Capital expenditure&#10;$310.5 thousand (actual)&#10;$0.3 million (approved annual budget)&#10;">
              <a:extLst xmlns:a="http://schemas.openxmlformats.org/drawingml/2006/main">
                <a:ext uri="{FF2B5EF4-FFF2-40B4-BE49-F238E27FC236}">
                  <a16:creationId xmlns:a16="http://schemas.microsoft.com/office/drawing/2014/main" id="{7B4912B1-65CF-414D-BD08-890B036EF6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descr="This graph shows Program 7 – Economic Development revenue, operating expenses and capital expenditure for the period ended September 2022, against the approved annual budget.&#10;&#10;Revenue&#10;$4.3 million (actual)&#10;$15.5 million (approved annual budget)&#10;&#10;Operating expenses&#10;$12.1 million (actual)&#10;$52.9 million (approved annual budget)&#10;&#10;Capital expenditure&#10;$310.5 thousand (actual)&#10;$0.3 million (approved annual budget)&#10;">
                      <a:extLst>
                        <a:ext uri="{FF2B5EF4-FFF2-40B4-BE49-F238E27FC236}">
                          <a16:creationId xmlns:a16="http://schemas.microsoft.com/office/drawing/2014/main" id="{7B4912B1-65CF-414D-BD08-890B036EF60A}"/>
                        </a:ext>
                      </a:extLst>
                    </pic:cNvPr>
                    <pic:cNvPicPr>
                      <a:picLocks noChangeAspect="1"/>
                    </pic:cNvPicPr>
                  </pic:nvPicPr>
                  <pic:blipFill>
                    <a:blip r:embed="rId42"/>
                    <a:stretch>
                      <a:fillRect/>
                    </a:stretch>
                  </pic:blipFill>
                  <pic:spPr>
                    <a:xfrm>
                      <a:off x="0" y="0"/>
                      <a:ext cx="6116320" cy="1673225"/>
                    </a:xfrm>
                    <a:prstGeom prst="rect">
                      <a:avLst/>
                    </a:prstGeom>
                  </pic:spPr>
                </pic:pic>
              </a:graphicData>
            </a:graphic>
          </wp:inline>
        </w:drawing>
      </w:r>
    </w:p>
    <w:p w14:paraId="2847BFFB" w14:textId="07B09B98" w:rsidR="00BE34DF" w:rsidRDefault="00BE34DF" w:rsidP="002F143B">
      <w:pPr>
        <w:jc w:val="center"/>
        <w:rPr>
          <w:b/>
          <w:bCs/>
        </w:rPr>
      </w:pPr>
    </w:p>
    <w:p w14:paraId="639CD766" w14:textId="6E670362" w:rsidR="00BE34DF" w:rsidRDefault="00BE34DF" w:rsidP="00EE10D2">
      <w:pPr>
        <w:pStyle w:val="Heading4black"/>
      </w:pPr>
      <w:r w:rsidRPr="002F4E8B">
        <w:t>Program financial results</w:t>
      </w:r>
    </w:p>
    <w:p w14:paraId="00F9C78F" w14:textId="77777777" w:rsidR="002F4E8B" w:rsidRPr="002F4E8B" w:rsidRDefault="002F4E8B" w:rsidP="00EE10D2"/>
    <w:p w14:paraId="4FC99963" w14:textId="77777777" w:rsidR="008A0C6C" w:rsidRDefault="008A0C6C" w:rsidP="00EE10D2">
      <w:r>
        <w:t>Revenue for the period is materially on track against budget.</w:t>
      </w:r>
    </w:p>
    <w:p w14:paraId="040E4422" w14:textId="77777777" w:rsidR="008A0C6C" w:rsidRDefault="008A0C6C" w:rsidP="00EE10D2"/>
    <w:p w14:paraId="325885AC" w14:textId="4FFD5E86" w:rsidR="008A0C6C" w:rsidRDefault="008A0C6C" w:rsidP="00EE10D2">
      <w:r>
        <w:t>Operating expenses are below budget during the period mainly due to:</w:t>
      </w:r>
    </w:p>
    <w:p w14:paraId="090CEF9B" w14:textId="25D10113" w:rsidR="008A0C6C" w:rsidRDefault="008A0C6C" w:rsidP="00EE10D2">
      <w:r>
        <w:t>Rephased expenditure in the Growing an Olympic City strategy, relating to activities for the Brisbane 2032 Olympic and Paralympic Games and Virtus Oceania Asia Games 2022.</w:t>
      </w:r>
    </w:p>
    <w:p w14:paraId="42C1CA8F" w14:textId="267C4EBA" w:rsidR="008A0C6C" w:rsidRDefault="008A0C6C" w:rsidP="00EE10D2">
      <w:r>
        <w:t>Rephased expenditure in the Economic Strategy and Support strategy, mainly relating to city analytics and innovation activities.</w:t>
      </w:r>
    </w:p>
    <w:p w14:paraId="09E50BD1" w14:textId="77777777" w:rsidR="005A2FD5" w:rsidRDefault="005A2FD5" w:rsidP="00EE10D2"/>
    <w:p w14:paraId="26559023" w14:textId="77777777" w:rsidR="005A2FD5" w:rsidRPr="00F006DB" w:rsidRDefault="005A2FD5" w:rsidP="00EE10D2">
      <w:r w:rsidRPr="00F006DB">
        <w:t>Operating expenses are expected to materially align with the annual budget at the end of the financial year.</w:t>
      </w:r>
    </w:p>
    <w:p w14:paraId="1D216CBF" w14:textId="77777777" w:rsidR="005A2FD5" w:rsidRDefault="005A2FD5" w:rsidP="00EE10D2"/>
    <w:p w14:paraId="123D51DE" w14:textId="7B08450A" w:rsidR="002F143B" w:rsidRDefault="008A0C6C" w:rsidP="00EE10D2">
      <w:r>
        <w:t>Capital expenditure for the period relates to the Albert Street Amenity Block Greening Project</w:t>
      </w:r>
      <w:r w:rsidR="00221DC4">
        <w:t xml:space="preserve"> and is </w:t>
      </w:r>
      <w:r>
        <w:t>materially on track against budget.</w:t>
      </w:r>
    </w:p>
    <w:p w14:paraId="3A51D59A" w14:textId="77777777" w:rsidR="005A2FD5" w:rsidRDefault="005A2FD5" w:rsidP="00EE10D2">
      <w:pPr>
        <w:rPr>
          <w:noProof/>
        </w:rPr>
      </w:pPr>
    </w:p>
    <w:p w14:paraId="780B3A5E" w14:textId="3B3CE845" w:rsidR="006A4349" w:rsidRDefault="00194C18" w:rsidP="00194C18">
      <w:pPr>
        <w:pStyle w:val="NormalCouncilblue"/>
        <w:spacing w:after="0" w:line="240" w:lineRule="auto"/>
        <w:jc w:val="center"/>
        <w:rPr>
          <w:b/>
          <w:bCs/>
          <w:sz w:val="24"/>
          <w:szCs w:val="24"/>
        </w:rPr>
      </w:pPr>
      <w:r>
        <w:rPr>
          <w:noProof/>
        </w:rPr>
        <w:drawing>
          <wp:inline distT="0" distB="0" distL="0" distR="0" wp14:anchorId="2AA7771C" wp14:editId="3E630E25">
            <wp:extent cx="5953125" cy="1762125"/>
            <wp:effectExtent l="0" t="0" r="9525" b="9525"/>
            <wp:docPr id="14" name="Picture 14" descr="This graph shows Program 7 – Economic Development total expenses (operating and capital) by strategy for the period ended September 2022.&#10;&#10;Tourism, Marketing and Events $4.0 million&#10;Queen Street and Valley Malls $3.6 million&#10;Business Growth, Trade and Talent $2.7 million&#10;Other strategies $12.2 million&#10;Total expenses by strategy (operating and capital) $12.4 mill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graph shows Program 7 – Economic Development total expenses (operating and capital) by strategy for the period ended September 2022.&#10;&#10;Tourism, Marketing and Events $4.0 million&#10;Queen Street and Valley Malls $3.6 million&#10;Business Growth, Trade and Talent $2.7 million&#10;Other strategies $12.2 million&#10;Total expenses by strategy (operating and capital) $12.4 million&#10;"/>
                    <pic:cNvPicPr/>
                  </pic:nvPicPr>
                  <pic:blipFill>
                    <a:blip r:embed="rId43"/>
                    <a:stretch>
                      <a:fillRect/>
                    </a:stretch>
                  </pic:blipFill>
                  <pic:spPr>
                    <a:xfrm>
                      <a:off x="0" y="0"/>
                      <a:ext cx="5953125" cy="1762125"/>
                    </a:xfrm>
                    <a:prstGeom prst="rect">
                      <a:avLst/>
                    </a:prstGeom>
                  </pic:spPr>
                </pic:pic>
              </a:graphicData>
            </a:graphic>
          </wp:inline>
        </w:drawing>
      </w:r>
    </w:p>
    <w:p w14:paraId="46627E46" w14:textId="4635E76F" w:rsidR="006A4349" w:rsidRDefault="006A4349" w:rsidP="006A4349">
      <w:pPr>
        <w:pStyle w:val="NormalCouncilblue"/>
        <w:spacing w:after="0" w:line="240" w:lineRule="auto"/>
        <w:rPr>
          <w:b/>
          <w:bCs/>
          <w:sz w:val="24"/>
          <w:szCs w:val="24"/>
        </w:rPr>
      </w:pPr>
    </w:p>
    <w:p w14:paraId="448DFFD7" w14:textId="534F4A0E" w:rsidR="00B31571" w:rsidRDefault="00B31571" w:rsidP="00EE10D2">
      <w:pPr>
        <w:pStyle w:val="Heading4black"/>
      </w:pPr>
      <w:r w:rsidRPr="006A4349">
        <w:t>Highlights and updates on key program strategies from the Annual Operational Plan</w:t>
      </w:r>
    </w:p>
    <w:p w14:paraId="0675AB24" w14:textId="346BF963" w:rsidR="006A4349" w:rsidRDefault="006A4349" w:rsidP="006A4349">
      <w:pPr>
        <w:pStyle w:val="NormalCouncilblue"/>
        <w:spacing w:after="0" w:line="240" w:lineRule="auto"/>
        <w:rPr>
          <w:b/>
          <w:bCs/>
        </w:rPr>
      </w:pPr>
    </w:p>
    <w:tbl>
      <w:tblPr>
        <w:tblStyle w:val="ListTable3-Accent1"/>
        <w:tblW w:w="9634" w:type="dxa"/>
        <w:tblBorders>
          <w:top w:val="single" w:sz="4" w:space="0" w:color="0067B1"/>
          <w:left w:val="single" w:sz="4" w:space="0" w:color="0067B1"/>
          <w:bottom w:val="single" w:sz="4" w:space="0" w:color="0067B1"/>
          <w:right w:val="single" w:sz="4" w:space="0" w:color="0067B1"/>
          <w:insideH w:val="single" w:sz="4" w:space="0" w:color="0067B1"/>
          <w:insideV w:val="single" w:sz="4" w:space="0" w:color="0067B1"/>
        </w:tblBorders>
        <w:tblLook w:val="04A0" w:firstRow="1" w:lastRow="0" w:firstColumn="1" w:lastColumn="0" w:noHBand="0" w:noVBand="1"/>
        <w:tblCaption w:val="HIghlights and updates on key programs strategies from the annual operational plan"/>
        <w:tblDescription w:val="Strategy, Highlights and Updates&#10;Economic strategy and support&#10;Suburban Business Hub Nundah •Continued to deliver business capacity building training sessions including drop-in sessions with Council experts on food licensing and procurement. Delivered the ‘Showcasing Brisbane’ initiative which allows three makers and one artist to display their products or artwork in the Hub.&#10;Supporting Business Partnerships, Growing Precincts Together Commenced this initiative at two locations: Racecourse Road, Ascot; and Rosalie Village, Paddington. Virtual Brisbane Completed the Virtual Brisbane 2021 base model update.&#10;World Class City Centre&#10;CitySafe. Provided an effective response and management service in the Central Business District (CBD) and Fortitude Valley (Valley)precincts. Purchased one additional CitySafe Rapid Deployment Camera&#10;Queen Street and Valley Malls&#10;Completed the Albert Street Amenity Block Greening Project. Celebrated Queen Street Mall’s 40th anniversary in August 2022resulting in the highest foot traffic to date for 2022.•Delivered multi-cultural program celebrating Moon Festival in September 2022, supporting 32 businesses. Promoted and supported the Valley’s ‘eat, shop and play’ options and activations through 16 website articles, 69 @myvalleybneInstagram and social media posts, supporting 89 businesses. Supported five emerging live music artists via ‘Weekly Live and Local’ activations commencing September 2022.&#10;Growing an Olympic City&#10;Brisbane 2032 Host City Continued to work with partners on Brisbane 2032 Olympic and Paralympic Games venue precincts, including launch of the Breakfast Creek Sports Precinct Concept. Continued to work with all Games partners on governance arrangements. Participated in Games legacy and strategy workshops with all Games partners. Continued to partner with Sport Inclusion Australia to deliver the Virtus Oceania Asia Games 2022.International Relations and Multicultural Affairs Engaged a professional conference organiser for the 2023 Asia Pacific Cities Summit. Rescheduled the Lord Mayor’s Multicultural Business Dinner and Awards due to the passing of Her Majesty The Queen Elizabeth II.&#10;Business Growth, Trade and Talent&#10;Delivered 24 workshops and 30 mentoring sessions with 627 event attendees and 868 coworking drop-ins. Completion of Women in Business Grants pre-launch and on track for launch date in early October 2022.•Generated three new investment leads through business relations trip to Singapore. Hosted a Private Label Forum for global online retailer Amazon at the Brisbane Business Hub for 20+ local companies. Hosted a two-day inbound Trade Mission in partnership with a United Kingdom-based global sports event consultancy group.&#10;Tourism, Marketing and Events&#10;Extended the ‘Here’s to Adventure’ destination marketing campaign, generating 4500 bookings, over $850,000 economic impact and 20,000 interstate competition entries. Continued business development activity and bidding for national and international Business Events, securing 10 bid wins anticipated to generate $13.9 million in economic activity and support 93 full-time equivalent (FTE) jobs in the local economy. Attracted five future Major Events generating an anticipated$16.3 million in economic activity and supporting 505 FTE jobs in the local economy. Supported the delivery of 27 Business and Major Events. &#10;"/>
      </w:tblPr>
      <w:tblGrid>
        <w:gridCol w:w="2405"/>
        <w:gridCol w:w="7229"/>
      </w:tblGrid>
      <w:tr w:rsidR="00753468" w:rsidRPr="00ED3210" w14:paraId="3BB7A9A4" w14:textId="77777777" w:rsidTr="008E1FD1">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shd w:val="clear" w:color="auto" w:fill="0067B1"/>
          </w:tcPr>
          <w:p w14:paraId="2B1A474B" w14:textId="77777777" w:rsidR="00753468" w:rsidRPr="00A71510" w:rsidRDefault="00753468" w:rsidP="00EE10D2">
            <w:pPr>
              <w:rPr>
                <w:color w:val="0070C0"/>
              </w:rPr>
            </w:pPr>
            <w:r w:rsidRPr="00A71510">
              <w:t>Strategy</w:t>
            </w:r>
          </w:p>
        </w:tc>
        <w:tc>
          <w:tcPr>
            <w:tcW w:w="7229" w:type="dxa"/>
            <w:shd w:val="clear" w:color="auto" w:fill="0067B1"/>
          </w:tcPr>
          <w:p w14:paraId="2A2DD7AC" w14:textId="77777777" w:rsidR="00753468" w:rsidRPr="00ED3210" w:rsidRDefault="00753468" w:rsidP="00EE10D2">
            <w:pPr>
              <w:cnfStyle w:val="100000000000" w:firstRow="1" w:lastRow="0" w:firstColumn="0" w:lastColumn="0" w:oddVBand="0" w:evenVBand="0" w:oddHBand="0" w:evenHBand="0" w:firstRowFirstColumn="0" w:firstRowLastColumn="0" w:lastRowFirstColumn="0" w:lastRowLastColumn="0"/>
              <w:rPr>
                <w:color w:val="auto"/>
              </w:rPr>
            </w:pPr>
            <w:r>
              <w:t>Highlights and updates</w:t>
            </w:r>
          </w:p>
        </w:tc>
      </w:tr>
      <w:tr w:rsidR="00753468" w:rsidRPr="00ED3210" w14:paraId="39DCC356" w14:textId="77777777" w:rsidTr="008E1FD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176649D9" w14:textId="2C92E7BC" w:rsidR="00753468" w:rsidRPr="00D23CD1" w:rsidRDefault="00753468" w:rsidP="00EE10D2">
            <w:pPr>
              <w:rPr>
                <w:b w:val="0"/>
                <w:noProof/>
                <w:snapToGrid w:val="0"/>
                <w:sz w:val="20"/>
                <w:lang w:val="en-US"/>
              </w:rPr>
            </w:pPr>
            <w:r w:rsidRPr="00E56337">
              <w:t>Economic Strategy and Support</w:t>
            </w:r>
          </w:p>
        </w:tc>
        <w:tc>
          <w:tcPr>
            <w:tcW w:w="7229" w:type="dxa"/>
            <w:tcBorders>
              <w:top w:val="none" w:sz="0" w:space="0" w:color="auto"/>
              <w:bottom w:val="none" w:sz="0" w:space="0" w:color="auto"/>
            </w:tcBorders>
          </w:tcPr>
          <w:p w14:paraId="12C3B95A" w14:textId="77777777" w:rsidR="002D5B80" w:rsidRPr="002D5B80" w:rsidRDefault="002D5B80" w:rsidP="00EE10D2">
            <w:pPr>
              <w:cnfStyle w:val="000000100000" w:firstRow="0" w:lastRow="0" w:firstColumn="0" w:lastColumn="0" w:oddVBand="0" w:evenVBand="0" w:oddHBand="1" w:evenHBand="0" w:firstRowFirstColumn="0" w:firstRowLastColumn="0" w:lastRowFirstColumn="0" w:lastRowLastColumn="0"/>
              <w:rPr>
                <w:rFonts w:eastAsia="Arial"/>
                <w:i/>
                <w:iCs/>
              </w:rPr>
            </w:pPr>
            <w:r w:rsidRPr="002D5B80">
              <w:rPr>
                <w:rFonts w:eastAsia="Arial"/>
                <w:i/>
                <w:iCs/>
              </w:rPr>
              <w:t>Suburban Business Hub Nundah</w:t>
            </w:r>
          </w:p>
          <w:p w14:paraId="79AA7534" w14:textId="77777777" w:rsidR="002D5B80" w:rsidRPr="00431A91" w:rsidRDefault="002D5B80"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Continued to deliver business capacity building training sessions including drop-in sessions with Council experts on food licensing and procurement.</w:t>
            </w:r>
          </w:p>
          <w:p w14:paraId="1B5F3EFC" w14:textId="7706131B" w:rsidR="002D5B80" w:rsidRPr="00431A91" w:rsidRDefault="002D5B80"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lastRenderedPageBreak/>
              <w:t xml:space="preserve">Delivered the </w:t>
            </w:r>
            <w:r w:rsidR="00C644B2">
              <w:rPr>
                <w:rFonts w:eastAsiaTheme="minorEastAsia"/>
              </w:rPr>
              <w:t>‘</w:t>
            </w:r>
            <w:r w:rsidRPr="00431A91">
              <w:rPr>
                <w:rFonts w:eastAsiaTheme="minorEastAsia"/>
              </w:rPr>
              <w:t>Showcasing Brisbane</w:t>
            </w:r>
            <w:r w:rsidR="00C644B2">
              <w:rPr>
                <w:rFonts w:eastAsiaTheme="minorEastAsia"/>
              </w:rPr>
              <w:t>’</w:t>
            </w:r>
            <w:r w:rsidRPr="00431A91">
              <w:rPr>
                <w:rFonts w:eastAsiaTheme="minorEastAsia"/>
              </w:rPr>
              <w:t xml:space="preserve"> initiative which allows three makers and one artist to display their products or artwork in the Hub.</w:t>
            </w:r>
          </w:p>
          <w:p w14:paraId="6ACAB37E" w14:textId="77777777" w:rsidR="005A2FD5" w:rsidRDefault="005A2FD5" w:rsidP="00EE10D2">
            <w:pPr>
              <w:cnfStyle w:val="000000100000" w:firstRow="0" w:lastRow="0" w:firstColumn="0" w:lastColumn="0" w:oddVBand="0" w:evenVBand="0" w:oddHBand="1" w:evenHBand="0" w:firstRowFirstColumn="0" w:firstRowLastColumn="0" w:lastRowFirstColumn="0" w:lastRowLastColumn="0"/>
              <w:rPr>
                <w:rFonts w:eastAsia="Arial"/>
                <w:i/>
                <w:iCs/>
                <w:color w:val="000000" w:themeColor="text1"/>
                <w:lang w:val="en-US"/>
              </w:rPr>
            </w:pPr>
          </w:p>
          <w:p w14:paraId="2FFFFD06" w14:textId="707C475D" w:rsidR="002D5B80" w:rsidRPr="002D5B80" w:rsidRDefault="002D5B80" w:rsidP="00EE10D2">
            <w:pPr>
              <w:cnfStyle w:val="000000100000" w:firstRow="0" w:lastRow="0" w:firstColumn="0" w:lastColumn="0" w:oddVBand="0" w:evenVBand="0" w:oddHBand="1" w:evenHBand="0" w:firstRowFirstColumn="0" w:firstRowLastColumn="0" w:lastRowFirstColumn="0" w:lastRowLastColumn="0"/>
              <w:rPr>
                <w:rFonts w:eastAsia="Arial"/>
                <w:i/>
                <w:iCs/>
                <w:color w:val="000000" w:themeColor="text1"/>
                <w:lang w:val="en-US"/>
              </w:rPr>
            </w:pPr>
            <w:r w:rsidRPr="002D5B80">
              <w:rPr>
                <w:rFonts w:eastAsia="Arial"/>
                <w:i/>
                <w:iCs/>
                <w:color w:val="000000" w:themeColor="text1"/>
                <w:lang w:val="en-US"/>
              </w:rPr>
              <w:t>Supporting Business Partnerships, Growing Precincts Together</w:t>
            </w:r>
          </w:p>
          <w:p w14:paraId="0A9AA0DB" w14:textId="67015F55" w:rsidR="002D5B80" w:rsidRPr="00431A91" w:rsidRDefault="002D5B80"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Commenced this initiative at two locations: Racecourse Road, Ascot; and Rosalie Village</w:t>
            </w:r>
            <w:r w:rsidR="00F02E1B">
              <w:rPr>
                <w:rFonts w:eastAsiaTheme="minorEastAsia"/>
              </w:rPr>
              <w:t>, Paddington</w:t>
            </w:r>
            <w:r w:rsidRPr="00431A91">
              <w:rPr>
                <w:rFonts w:eastAsiaTheme="minorEastAsia"/>
              </w:rPr>
              <w:t xml:space="preserve">. </w:t>
            </w:r>
          </w:p>
          <w:p w14:paraId="6919A495" w14:textId="77777777" w:rsidR="002D5B80" w:rsidRPr="002D5B80" w:rsidRDefault="002D5B80" w:rsidP="00EE10D2">
            <w:pPr>
              <w:cnfStyle w:val="000000100000" w:firstRow="0" w:lastRow="0" w:firstColumn="0" w:lastColumn="0" w:oddVBand="0" w:evenVBand="0" w:oddHBand="1" w:evenHBand="0" w:firstRowFirstColumn="0" w:firstRowLastColumn="0" w:lastRowFirstColumn="0" w:lastRowLastColumn="0"/>
              <w:rPr>
                <w:rFonts w:eastAsia="Arial"/>
                <w:i/>
                <w:iCs/>
                <w:color w:val="000000" w:themeColor="text1"/>
                <w:lang w:val="en-US"/>
              </w:rPr>
            </w:pPr>
            <w:r w:rsidRPr="002D5B80">
              <w:rPr>
                <w:rFonts w:eastAsia="Arial"/>
                <w:i/>
                <w:iCs/>
                <w:color w:val="000000" w:themeColor="text1"/>
                <w:lang w:val="en-US"/>
              </w:rPr>
              <w:t>Virtual Brisbane</w:t>
            </w:r>
          </w:p>
          <w:p w14:paraId="17CBDCB8" w14:textId="77777777" w:rsidR="002D5B80" w:rsidRPr="00431A91" w:rsidRDefault="002D5B80"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Completed the Virtual Brisbane 2021 base model update.</w:t>
            </w:r>
          </w:p>
          <w:p w14:paraId="34DDBE5D" w14:textId="66241EF0" w:rsidR="00753468" w:rsidRPr="00753468" w:rsidRDefault="00753468" w:rsidP="00EE10D2">
            <w:pPr>
              <w:cnfStyle w:val="000000100000" w:firstRow="0" w:lastRow="0" w:firstColumn="0" w:lastColumn="0" w:oddVBand="0" w:evenVBand="0" w:oddHBand="1" w:evenHBand="0" w:firstRowFirstColumn="0" w:firstRowLastColumn="0" w:lastRowFirstColumn="0" w:lastRowLastColumn="0"/>
              <w:rPr>
                <w:noProof/>
                <w:snapToGrid w:val="0"/>
                <w:lang w:val="en-US"/>
              </w:rPr>
            </w:pPr>
          </w:p>
        </w:tc>
      </w:tr>
      <w:tr w:rsidR="001244B0" w:rsidRPr="00ED3210" w14:paraId="3A1937CF" w14:textId="77777777" w:rsidTr="008E1FD1">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653E9401" w14:textId="0FA4C5D0" w:rsidR="001244B0" w:rsidRPr="00D23CD1" w:rsidRDefault="001244B0" w:rsidP="00EE10D2">
            <w:pPr>
              <w:rPr>
                <w:b w:val="0"/>
                <w:noProof/>
                <w:snapToGrid w:val="0"/>
                <w:sz w:val="20"/>
                <w:lang w:val="en-US"/>
              </w:rPr>
            </w:pPr>
            <w:r w:rsidRPr="6F6972D7">
              <w:rPr>
                <w:rFonts w:eastAsia="Arial"/>
                <w:color w:val="000000" w:themeColor="text1"/>
              </w:rPr>
              <w:lastRenderedPageBreak/>
              <w:t xml:space="preserve">World Class City Centre </w:t>
            </w:r>
            <w:r w:rsidRPr="6F6972D7">
              <w:rPr>
                <w:rFonts w:eastAsia="Arial"/>
              </w:rPr>
              <w:t xml:space="preserve"> </w:t>
            </w:r>
          </w:p>
        </w:tc>
        <w:tc>
          <w:tcPr>
            <w:tcW w:w="7229" w:type="dxa"/>
          </w:tcPr>
          <w:p w14:paraId="55ADB290" w14:textId="77777777"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Arial"/>
                <w:i/>
                <w:iCs/>
              </w:rPr>
            </w:pPr>
            <w:proofErr w:type="spellStart"/>
            <w:r w:rsidRPr="00431A91">
              <w:rPr>
                <w:rFonts w:eastAsia="Arial"/>
                <w:i/>
                <w:iCs/>
              </w:rPr>
              <w:t>CitySafe</w:t>
            </w:r>
            <w:proofErr w:type="spellEnd"/>
            <w:r w:rsidRPr="00431A91">
              <w:rPr>
                <w:rFonts w:eastAsia="Arial"/>
                <w:i/>
                <w:iCs/>
              </w:rPr>
              <w:t xml:space="preserve"> </w:t>
            </w:r>
          </w:p>
          <w:p w14:paraId="03A80EB7" w14:textId="2C412AEE"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431A91">
              <w:rPr>
                <w:rFonts w:eastAsiaTheme="minorEastAsia"/>
              </w:rPr>
              <w:t>Provided an effective response and management service in the Central Business District (CBD) and Fortitude Valley (Valley) precincts.</w:t>
            </w:r>
          </w:p>
          <w:p w14:paraId="3B52A966" w14:textId="77777777" w:rsidR="00431A91" w:rsidRPr="005A2FD5" w:rsidRDefault="00431A91" w:rsidP="00EE10D2">
            <w:pPr>
              <w:cnfStyle w:val="000000000000" w:firstRow="0" w:lastRow="0" w:firstColumn="0" w:lastColumn="0" w:oddVBand="0" w:evenVBand="0" w:oddHBand="0" w:evenHBand="0" w:firstRowFirstColumn="0" w:firstRowLastColumn="0" w:lastRowFirstColumn="0" w:lastRowLastColumn="0"/>
              <w:rPr>
                <w:noProof/>
                <w:snapToGrid w:val="0"/>
                <w:szCs w:val="24"/>
                <w:lang w:val="en-US"/>
              </w:rPr>
            </w:pPr>
            <w:r w:rsidRPr="00431A91">
              <w:rPr>
                <w:rFonts w:eastAsiaTheme="minorEastAsia"/>
              </w:rPr>
              <w:t xml:space="preserve">Purchased one additional </w:t>
            </w:r>
            <w:proofErr w:type="spellStart"/>
            <w:r w:rsidRPr="00431A91">
              <w:rPr>
                <w:rFonts w:eastAsiaTheme="minorEastAsia"/>
              </w:rPr>
              <w:t>CitySafe</w:t>
            </w:r>
            <w:proofErr w:type="spellEnd"/>
            <w:r w:rsidRPr="00431A91">
              <w:rPr>
                <w:rFonts w:eastAsiaTheme="minorEastAsia"/>
              </w:rPr>
              <w:t xml:space="preserve"> Rapid Deployment Camera.</w:t>
            </w:r>
          </w:p>
          <w:p w14:paraId="7DAEE878" w14:textId="7D54DA96" w:rsidR="005A2FD5" w:rsidRPr="002F4E8B" w:rsidRDefault="005A2FD5" w:rsidP="00EE10D2">
            <w:pPr>
              <w:cnfStyle w:val="000000000000" w:firstRow="0" w:lastRow="0" w:firstColumn="0" w:lastColumn="0" w:oddVBand="0" w:evenVBand="0" w:oddHBand="0" w:evenHBand="0" w:firstRowFirstColumn="0" w:firstRowLastColumn="0" w:lastRowFirstColumn="0" w:lastRowLastColumn="0"/>
              <w:rPr>
                <w:noProof/>
                <w:snapToGrid w:val="0"/>
                <w:szCs w:val="24"/>
                <w:lang w:val="en-US"/>
              </w:rPr>
            </w:pPr>
          </w:p>
        </w:tc>
      </w:tr>
      <w:tr w:rsidR="001244B0" w:rsidRPr="00ED3210" w14:paraId="055B3830" w14:textId="77777777" w:rsidTr="008E1FD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747ECF8C" w14:textId="4A0E62E3" w:rsidR="001244B0" w:rsidRPr="00D23CD1" w:rsidRDefault="001244B0" w:rsidP="00EE10D2">
            <w:pPr>
              <w:rPr>
                <w:b w:val="0"/>
                <w:noProof/>
                <w:snapToGrid w:val="0"/>
                <w:sz w:val="20"/>
                <w:lang w:val="en-US"/>
              </w:rPr>
            </w:pPr>
            <w:r w:rsidRPr="6F6972D7">
              <w:rPr>
                <w:rFonts w:eastAsia="Arial"/>
                <w:color w:val="000000" w:themeColor="text1"/>
              </w:rPr>
              <w:t>Queen Street and Valley Malls</w:t>
            </w:r>
          </w:p>
        </w:tc>
        <w:tc>
          <w:tcPr>
            <w:tcW w:w="7229" w:type="dxa"/>
            <w:tcBorders>
              <w:top w:val="none" w:sz="0" w:space="0" w:color="auto"/>
              <w:bottom w:val="none" w:sz="0" w:space="0" w:color="auto"/>
            </w:tcBorders>
          </w:tcPr>
          <w:p w14:paraId="2FC7C83B" w14:textId="581B65AB" w:rsidR="00431A91" w:rsidRPr="00431A9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Completed the Albert Street Amenity Block Greening Project.</w:t>
            </w:r>
          </w:p>
          <w:p w14:paraId="1E5949B1" w14:textId="766084E9" w:rsidR="00431A91" w:rsidRPr="008E1FD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8E1FD1">
              <w:rPr>
                <w:rFonts w:eastAsiaTheme="minorEastAsia"/>
              </w:rPr>
              <w:t xml:space="preserve">Celebrated Queen Street Mall’s 40th anniversary in August 2022 resulting in the highest foot traffic to date for 2022. </w:t>
            </w:r>
          </w:p>
          <w:p w14:paraId="626CBF00" w14:textId="1C29834B" w:rsidR="00431A91" w:rsidRPr="00431A9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 xml:space="preserve">Delivered multi-cultural program celebrating Moon Festival in September 2022, supporting 32 businesses. </w:t>
            </w:r>
          </w:p>
          <w:p w14:paraId="00E84995" w14:textId="6F0A46D1" w:rsidR="00431A91" w:rsidRPr="00431A9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Promoted and supported the Valley’s ‘eat, shop and play’ options and activations through 16 website articles, 69 @myvalleybne Instagram</w:t>
            </w:r>
            <w:r w:rsidR="006C6B2C">
              <w:rPr>
                <w:rFonts w:eastAsiaTheme="minorEastAsia"/>
              </w:rPr>
              <w:t xml:space="preserve"> and </w:t>
            </w:r>
            <w:r w:rsidR="006C6B2C" w:rsidRPr="00431A91">
              <w:rPr>
                <w:rFonts w:eastAsiaTheme="minorEastAsia"/>
              </w:rPr>
              <w:t>social media posts</w:t>
            </w:r>
            <w:r w:rsidRPr="00431A91">
              <w:rPr>
                <w:rFonts w:eastAsiaTheme="minorEastAsia"/>
              </w:rPr>
              <w:t>, supporting 89 businesses.</w:t>
            </w:r>
          </w:p>
          <w:p w14:paraId="6A5B7FCA" w14:textId="2E5978DA" w:rsidR="00431A91" w:rsidRPr="00431A9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Supported five emerging live music artists via ‘Weekly Live and Local’ activations commencing September 2022.</w:t>
            </w:r>
          </w:p>
          <w:p w14:paraId="3FED1569" w14:textId="68D13FDE" w:rsidR="001244B0" w:rsidRPr="00431A91" w:rsidRDefault="001244B0" w:rsidP="00EE10D2">
            <w:pPr>
              <w:cnfStyle w:val="000000100000" w:firstRow="0" w:lastRow="0" w:firstColumn="0" w:lastColumn="0" w:oddVBand="0" w:evenVBand="0" w:oddHBand="1" w:evenHBand="0" w:firstRowFirstColumn="0" w:firstRowLastColumn="0" w:lastRowFirstColumn="0" w:lastRowLastColumn="0"/>
              <w:rPr>
                <w:noProof/>
                <w:snapToGrid w:val="0"/>
                <w:szCs w:val="24"/>
                <w:lang w:val="en-US"/>
              </w:rPr>
            </w:pPr>
          </w:p>
        </w:tc>
      </w:tr>
      <w:tr w:rsidR="001244B0" w:rsidRPr="00ED3210" w14:paraId="6A3755AC" w14:textId="77777777" w:rsidTr="008E1FD1">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3FF647B0" w14:textId="77777777" w:rsidR="001244B0" w:rsidRPr="00F22D4C" w:rsidRDefault="001244B0" w:rsidP="00EE10D2">
            <w:pPr>
              <w:rPr>
                <w:rFonts w:eastAsia="Arial"/>
              </w:rPr>
            </w:pPr>
            <w:r w:rsidRPr="6F6972D7">
              <w:rPr>
                <w:rFonts w:eastAsia="Arial"/>
                <w:color w:val="000000" w:themeColor="text1"/>
              </w:rPr>
              <w:t>Growing an Olympic City</w:t>
            </w:r>
          </w:p>
          <w:p w14:paraId="17873127" w14:textId="0ADB6884" w:rsidR="001244B0" w:rsidRPr="00D23CD1" w:rsidRDefault="001244B0" w:rsidP="00EE10D2">
            <w:pPr>
              <w:rPr>
                <w:b w:val="0"/>
                <w:noProof/>
                <w:snapToGrid w:val="0"/>
                <w:sz w:val="20"/>
                <w:lang w:val="en-US"/>
              </w:rPr>
            </w:pPr>
          </w:p>
        </w:tc>
        <w:tc>
          <w:tcPr>
            <w:tcW w:w="7229" w:type="dxa"/>
          </w:tcPr>
          <w:p w14:paraId="6A35E60D" w14:textId="77777777"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Arial"/>
                <w:i/>
                <w:iCs/>
              </w:rPr>
            </w:pPr>
            <w:r w:rsidRPr="00431A91">
              <w:rPr>
                <w:rFonts w:eastAsia="Arial"/>
                <w:i/>
                <w:iCs/>
              </w:rPr>
              <w:t>Brisbane 2032 Host City</w:t>
            </w:r>
          </w:p>
          <w:p w14:paraId="30C7813A" w14:textId="75D04919"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431A91">
              <w:rPr>
                <w:rFonts w:eastAsiaTheme="minorEastAsia"/>
              </w:rPr>
              <w:t>Continued to work with partners on Brisbane 2032 Olympic and Paralympic Games venue precincts, including launch of the Breakfast Creek Sports Precinct Concept.</w:t>
            </w:r>
          </w:p>
          <w:p w14:paraId="70B55540" w14:textId="2726D699"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431A91">
              <w:rPr>
                <w:rFonts w:eastAsiaTheme="minorEastAsia"/>
              </w:rPr>
              <w:t>Continued to work with all Games partners on governance arrangements.</w:t>
            </w:r>
          </w:p>
          <w:p w14:paraId="77946784" w14:textId="5A47B039"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431A91">
              <w:rPr>
                <w:rFonts w:eastAsiaTheme="minorEastAsia"/>
              </w:rPr>
              <w:t>Participated in Games legacy and strategy workshops with all Games partners.</w:t>
            </w:r>
          </w:p>
          <w:p w14:paraId="1354291E" w14:textId="415F4959"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431A91">
              <w:rPr>
                <w:rFonts w:eastAsiaTheme="minorEastAsia"/>
              </w:rPr>
              <w:t>Continued to partner with Sport Inclusion Australia to deliver the Virtus Oceania Asia Games 2022.</w:t>
            </w:r>
          </w:p>
          <w:p w14:paraId="1EBA289C" w14:textId="77777777"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Arial"/>
                <w:i/>
                <w:iCs/>
              </w:rPr>
            </w:pPr>
            <w:r w:rsidRPr="00431A91">
              <w:rPr>
                <w:rFonts w:eastAsia="Arial"/>
                <w:i/>
                <w:iCs/>
              </w:rPr>
              <w:t>International Relations and Multicultural Affairs</w:t>
            </w:r>
          </w:p>
          <w:p w14:paraId="66B4B1CD" w14:textId="0DFF0C6E" w:rsidR="00431A91" w:rsidRPr="00A022E9"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A022E9">
              <w:rPr>
                <w:rFonts w:eastAsiaTheme="minorEastAsia"/>
              </w:rPr>
              <w:t>Engaged a professional conference organiser for the 2023 Asia Pacific Cities Summit.</w:t>
            </w:r>
          </w:p>
          <w:p w14:paraId="2C5F027D" w14:textId="77777777" w:rsidR="001244B0" w:rsidRDefault="00431A91" w:rsidP="00EE10D2">
            <w:pPr>
              <w:cnfStyle w:val="000000000000" w:firstRow="0" w:lastRow="0" w:firstColumn="0" w:lastColumn="0" w:oddVBand="0" w:evenVBand="0" w:oddHBand="0" w:evenHBand="0" w:firstRowFirstColumn="0" w:firstRowLastColumn="0" w:lastRowFirstColumn="0" w:lastRowLastColumn="0"/>
              <w:rPr>
                <w:noProof/>
                <w:snapToGrid w:val="0"/>
                <w:szCs w:val="24"/>
                <w:lang w:val="en-US"/>
              </w:rPr>
            </w:pPr>
            <w:r w:rsidRPr="00431A91">
              <w:rPr>
                <w:rFonts w:eastAsiaTheme="minorEastAsia"/>
              </w:rPr>
              <w:t>Rescheduled the Lord Mayor’s Multicultural Business Dinner and Awards due to the passing of Her Majesty The Queen Elizabeth II.</w:t>
            </w:r>
            <w:r w:rsidRPr="00431A91">
              <w:rPr>
                <w:noProof/>
                <w:snapToGrid w:val="0"/>
                <w:szCs w:val="24"/>
                <w:lang w:val="en-US"/>
              </w:rPr>
              <w:t xml:space="preserve">  </w:t>
            </w:r>
          </w:p>
          <w:p w14:paraId="7B5E42D8" w14:textId="5B718097" w:rsidR="00431A91" w:rsidRPr="002F4E8B" w:rsidRDefault="00431A91" w:rsidP="00EE10D2">
            <w:pPr>
              <w:cnfStyle w:val="000000000000" w:firstRow="0" w:lastRow="0" w:firstColumn="0" w:lastColumn="0" w:oddVBand="0" w:evenVBand="0" w:oddHBand="0" w:evenHBand="0" w:firstRowFirstColumn="0" w:firstRowLastColumn="0" w:lastRowFirstColumn="0" w:lastRowLastColumn="0"/>
              <w:rPr>
                <w:noProof/>
                <w:snapToGrid w:val="0"/>
                <w:szCs w:val="24"/>
                <w:lang w:val="en-US"/>
              </w:rPr>
            </w:pPr>
          </w:p>
        </w:tc>
      </w:tr>
      <w:tr w:rsidR="001244B0" w:rsidRPr="00ED3210" w14:paraId="12082D5A" w14:textId="77777777" w:rsidTr="008E1FD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7F45BF59" w14:textId="2B2254C0" w:rsidR="001244B0" w:rsidRPr="00D23CD1" w:rsidRDefault="001244B0" w:rsidP="00EE10D2">
            <w:pPr>
              <w:rPr>
                <w:b w:val="0"/>
                <w:noProof/>
                <w:snapToGrid w:val="0"/>
                <w:sz w:val="20"/>
                <w:lang w:val="en-US"/>
              </w:rPr>
            </w:pPr>
            <w:r w:rsidRPr="6F6972D7">
              <w:rPr>
                <w:rFonts w:eastAsia="Arial"/>
                <w:color w:val="000000" w:themeColor="text1"/>
              </w:rPr>
              <w:t>Business Growth, Trade and Talent</w:t>
            </w:r>
          </w:p>
        </w:tc>
        <w:tc>
          <w:tcPr>
            <w:tcW w:w="7229" w:type="dxa"/>
          </w:tcPr>
          <w:p w14:paraId="4A9200BD" w14:textId="3FCC5610" w:rsidR="00431A91" w:rsidRPr="00431A9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Delivered 24 workshops and 30 mentoring sessions with 627 event attendees and 868 coworking drop-ins.</w:t>
            </w:r>
          </w:p>
          <w:p w14:paraId="5E3334AA" w14:textId="35A6090F" w:rsidR="00431A91" w:rsidRPr="00431A9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Completion of Women in Business Grants pre-launch and on track for launch date in early October 2022.</w:t>
            </w:r>
          </w:p>
          <w:p w14:paraId="6D784E13" w14:textId="17C214C4" w:rsidR="00431A91" w:rsidRPr="00431A9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 xml:space="preserve">Generated three new investment leads through business relations trip to Singapore. </w:t>
            </w:r>
          </w:p>
          <w:p w14:paraId="3B581375" w14:textId="1515D951" w:rsidR="00431A91" w:rsidRPr="00431A9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 xml:space="preserve">Hosted a Private Label Forum for global online retailer Amazon at the Brisbane Business Hub for 20+ local companies. </w:t>
            </w:r>
          </w:p>
          <w:p w14:paraId="3CEF405A" w14:textId="398F0C01" w:rsidR="00431A91" w:rsidRPr="00431A91" w:rsidRDefault="00431A91"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431A91">
              <w:rPr>
                <w:rFonts w:eastAsiaTheme="minorEastAsia"/>
              </w:rPr>
              <w:t xml:space="preserve">Hosted a two-day inbound Trade Mission in partnership with a United Kingdom-based global sports event consultancy group. </w:t>
            </w:r>
          </w:p>
          <w:p w14:paraId="477942E5" w14:textId="77777777" w:rsidR="001244B0" w:rsidRPr="002F4E8B" w:rsidRDefault="001244B0" w:rsidP="00EE10D2">
            <w:pPr>
              <w:cnfStyle w:val="000000100000" w:firstRow="0" w:lastRow="0" w:firstColumn="0" w:lastColumn="0" w:oddVBand="0" w:evenVBand="0" w:oddHBand="1" w:evenHBand="0" w:firstRowFirstColumn="0" w:firstRowLastColumn="0" w:lastRowFirstColumn="0" w:lastRowLastColumn="0"/>
            </w:pPr>
          </w:p>
        </w:tc>
      </w:tr>
      <w:tr w:rsidR="001244B0" w:rsidRPr="00ED3210" w14:paraId="054E71F2" w14:textId="77777777" w:rsidTr="008E1FD1">
        <w:trPr>
          <w:trHeight w:val="311"/>
        </w:trPr>
        <w:tc>
          <w:tcPr>
            <w:cnfStyle w:val="001000000000" w:firstRow="0" w:lastRow="0" w:firstColumn="1" w:lastColumn="0" w:oddVBand="0" w:evenVBand="0" w:oddHBand="0" w:evenHBand="0" w:firstRowFirstColumn="0" w:firstRowLastColumn="0" w:lastRowFirstColumn="0" w:lastRowLastColumn="0"/>
            <w:tcW w:w="2405" w:type="dxa"/>
          </w:tcPr>
          <w:p w14:paraId="401082A5" w14:textId="64E97125" w:rsidR="001244B0" w:rsidRPr="00D23CD1" w:rsidRDefault="001244B0" w:rsidP="00EE10D2">
            <w:pPr>
              <w:rPr>
                <w:b w:val="0"/>
                <w:noProof/>
                <w:snapToGrid w:val="0"/>
                <w:sz w:val="20"/>
                <w:lang w:val="en-US"/>
              </w:rPr>
            </w:pPr>
            <w:r w:rsidRPr="6F6972D7">
              <w:rPr>
                <w:rFonts w:eastAsia="Arial"/>
                <w:color w:val="000000" w:themeColor="text1"/>
              </w:rPr>
              <w:lastRenderedPageBreak/>
              <w:t>Tourism, Marketing and Events</w:t>
            </w:r>
          </w:p>
        </w:tc>
        <w:tc>
          <w:tcPr>
            <w:tcW w:w="7229" w:type="dxa"/>
          </w:tcPr>
          <w:p w14:paraId="314C3D72" w14:textId="77777777"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431A91">
              <w:rPr>
                <w:rFonts w:eastAsiaTheme="minorEastAsia"/>
              </w:rPr>
              <w:t xml:space="preserve">Extended the ‘Here’s to Adventure’ destination marketing campaign, generating 4500 bookings, over $850,000 economic impact and 20,000 interstate competition entries.  </w:t>
            </w:r>
          </w:p>
          <w:p w14:paraId="210850F8" w14:textId="77777777" w:rsidR="0009573F"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09573F">
              <w:rPr>
                <w:rFonts w:eastAsiaTheme="minorEastAsia"/>
              </w:rPr>
              <w:t>Continued business development activity and bidding for national and international Business Events, securing 10 bid wins anticipated to generate $13.9 million in economic activity and support 93</w:t>
            </w:r>
            <w:r w:rsidR="0009573F">
              <w:rPr>
                <w:rFonts w:eastAsiaTheme="minorEastAsia"/>
              </w:rPr>
              <w:t> </w:t>
            </w:r>
          </w:p>
          <w:p w14:paraId="54DE048C" w14:textId="2FE937A4" w:rsidR="00431A91" w:rsidRPr="0009573F"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09573F">
              <w:rPr>
                <w:rFonts w:eastAsiaTheme="minorEastAsia"/>
              </w:rPr>
              <w:t>full</w:t>
            </w:r>
            <w:r w:rsidR="00241F60" w:rsidRPr="0009573F">
              <w:rPr>
                <w:rFonts w:eastAsiaTheme="minorEastAsia"/>
              </w:rPr>
              <w:t>-</w:t>
            </w:r>
            <w:r w:rsidRPr="0009573F">
              <w:rPr>
                <w:rFonts w:eastAsiaTheme="minorEastAsia"/>
              </w:rPr>
              <w:t xml:space="preserve">time equivalent (FTE) jobs in the local economy. </w:t>
            </w:r>
          </w:p>
          <w:p w14:paraId="6461494C" w14:textId="01D5EE76"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431A91">
              <w:rPr>
                <w:rFonts w:eastAsiaTheme="minorEastAsia"/>
              </w:rPr>
              <w:t>Attracted five future Major Events generating an anticipated $16.3</w:t>
            </w:r>
            <w:r w:rsidR="003F0812">
              <w:rPr>
                <w:rFonts w:eastAsiaTheme="minorEastAsia"/>
              </w:rPr>
              <w:t> </w:t>
            </w:r>
            <w:r w:rsidRPr="00431A91">
              <w:rPr>
                <w:rFonts w:eastAsiaTheme="minorEastAsia"/>
              </w:rPr>
              <w:t>million in economic activity and supporting 505 FTE jobs in the local economy.</w:t>
            </w:r>
          </w:p>
          <w:p w14:paraId="0345CBAB" w14:textId="77777777" w:rsidR="00431A91" w:rsidRPr="00431A91" w:rsidRDefault="00431A91"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431A91">
              <w:rPr>
                <w:rFonts w:eastAsiaTheme="minorEastAsia"/>
              </w:rPr>
              <w:t xml:space="preserve">Supported the delivery of 27 Business and Major Events. </w:t>
            </w:r>
          </w:p>
          <w:p w14:paraId="5470C550" w14:textId="77777777" w:rsidR="001244B0" w:rsidRPr="00431A91" w:rsidRDefault="001244B0" w:rsidP="00EE10D2">
            <w:pPr>
              <w:cnfStyle w:val="000000000000" w:firstRow="0" w:lastRow="0" w:firstColumn="0" w:lastColumn="0" w:oddVBand="0" w:evenVBand="0" w:oddHBand="0" w:evenHBand="0" w:firstRowFirstColumn="0" w:firstRowLastColumn="0" w:lastRowFirstColumn="0" w:lastRowLastColumn="0"/>
            </w:pPr>
          </w:p>
        </w:tc>
      </w:tr>
    </w:tbl>
    <w:p w14:paraId="377DCB76" w14:textId="737F7758" w:rsidR="00516011" w:rsidRDefault="00516011"/>
    <w:p w14:paraId="5F7DC5AE" w14:textId="77777777" w:rsidR="003D0426" w:rsidRDefault="003D0426"/>
    <w:p w14:paraId="0157CACB" w14:textId="4E1F77F0" w:rsidR="003D0426" w:rsidRDefault="003D0426">
      <w:pPr>
        <w:sectPr w:rsidR="003D0426" w:rsidSect="0013507F">
          <w:footerReference w:type="default" r:id="rId44"/>
          <w:pgSz w:w="11900" w:h="16840"/>
          <w:pgMar w:top="1440" w:right="1134" w:bottom="1440" w:left="1134" w:header="709" w:footer="709" w:gutter="0"/>
          <w:cols w:space="708"/>
          <w:docGrid w:linePitch="360"/>
        </w:sectPr>
      </w:pPr>
    </w:p>
    <w:p w14:paraId="0448D585" w14:textId="48AE2637" w:rsidR="00BE34DF" w:rsidRPr="00E17E52" w:rsidRDefault="00BE34DF" w:rsidP="0057257F">
      <w:pPr>
        <w:pStyle w:val="Heading3"/>
        <w:rPr>
          <w:rFonts w:cs="Arial"/>
          <w:bCs/>
          <w:szCs w:val="28"/>
        </w:rPr>
      </w:pPr>
      <w:bookmarkStart w:id="32" w:name="_Toc127436761"/>
      <w:r w:rsidRPr="00E17E52">
        <w:lastRenderedPageBreak/>
        <w:t>Program 8 – City Governance</w:t>
      </w:r>
      <w:bookmarkEnd w:id="32"/>
    </w:p>
    <w:p w14:paraId="7933FE71" w14:textId="26836058" w:rsidR="00BE34DF" w:rsidRDefault="00BE34DF" w:rsidP="00BE34DF">
      <w:pPr>
        <w:jc w:val="center"/>
        <w:rPr>
          <w:noProof/>
          <w:color w:val="2B579A"/>
          <w:shd w:val="clear" w:color="auto" w:fill="E6E6E6"/>
        </w:rPr>
      </w:pPr>
    </w:p>
    <w:p w14:paraId="6866B5CD" w14:textId="42C84041" w:rsidR="00BE34DF" w:rsidRDefault="004D36CF" w:rsidP="006A3748">
      <w:pPr>
        <w:jc w:val="center"/>
        <w:rPr>
          <w:b/>
          <w:bCs/>
        </w:rPr>
      </w:pPr>
      <w:r>
        <w:rPr>
          <w:noProof/>
        </w:rPr>
        <w:drawing>
          <wp:inline distT="0" distB="0" distL="0" distR="0" wp14:anchorId="4B92443C" wp14:editId="31FDABC2">
            <wp:extent cx="6116320" cy="1682115"/>
            <wp:effectExtent l="0" t="0" r="0" b="0"/>
            <wp:docPr id="23" name="Picture 9" descr="This graph shows Program 8 – City Governance revenue, operating expenses and capital expenditure for the period ended September 2022, against the approved annual budget.&#10;&#10;Revenue&#10;$318.8 million (actual)&#10;$1,520.1 million (approved annual budget)&#10;&#10;Operating expenses&#10;$81.2 million (actual)&#10;$341.4 million (approved annual budget)&#10;&#10;Capital expenditure&#10;$5.9 million (actual)&#10;$41.4 million (approved annual budget)&#10;">
              <a:extLst xmlns:a="http://schemas.openxmlformats.org/drawingml/2006/main">
                <a:ext uri="{FF2B5EF4-FFF2-40B4-BE49-F238E27FC236}">
                  <a16:creationId xmlns:a16="http://schemas.microsoft.com/office/drawing/2014/main" id="{54FD42E8-F251-468E-9F82-5329FB983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9" descr="This graph shows Program 8 – City Governance revenue, operating expenses and capital expenditure for the period ended September 2022, against the approved annual budget.&#10;&#10;Revenue&#10;$318.8 million (actual)&#10;$1,520.1 million (approved annual budget)&#10;&#10;Operating expenses&#10;$81.2 million (actual)&#10;$341.4 million (approved annual budget)&#10;&#10;Capital expenditure&#10;$5.9 million (actual)&#10;$41.4 million (approved annual budget)&#10;">
                      <a:extLst>
                        <a:ext uri="{FF2B5EF4-FFF2-40B4-BE49-F238E27FC236}">
                          <a16:creationId xmlns:a16="http://schemas.microsoft.com/office/drawing/2014/main" id="{54FD42E8-F251-468E-9F82-5329FB9837B9}"/>
                        </a:ext>
                      </a:extLst>
                    </pic:cNvPr>
                    <pic:cNvPicPr>
                      <a:picLocks noChangeAspect="1"/>
                    </pic:cNvPicPr>
                  </pic:nvPicPr>
                  <pic:blipFill>
                    <a:blip r:embed="rId45"/>
                    <a:stretch>
                      <a:fillRect/>
                    </a:stretch>
                  </pic:blipFill>
                  <pic:spPr>
                    <a:xfrm>
                      <a:off x="0" y="0"/>
                      <a:ext cx="6116320" cy="1682115"/>
                    </a:xfrm>
                    <a:prstGeom prst="rect">
                      <a:avLst/>
                    </a:prstGeom>
                  </pic:spPr>
                </pic:pic>
              </a:graphicData>
            </a:graphic>
          </wp:inline>
        </w:drawing>
      </w:r>
    </w:p>
    <w:p w14:paraId="3C35D7DD" w14:textId="77777777" w:rsidR="006A3748" w:rsidRDefault="006A3748" w:rsidP="00E17E52">
      <w:pPr>
        <w:jc w:val="center"/>
        <w:rPr>
          <w:b/>
          <w:bCs/>
        </w:rPr>
      </w:pPr>
    </w:p>
    <w:p w14:paraId="4759782D" w14:textId="03D42DE5" w:rsidR="00BE34DF" w:rsidRPr="00E17E52" w:rsidRDefault="00BE34DF" w:rsidP="00EE10D2">
      <w:pPr>
        <w:pStyle w:val="Heading4black"/>
      </w:pPr>
      <w:r w:rsidRPr="00E17E52">
        <w:t>Program financial results</w:t>
      </w:r>
    </w:p>
    <w:p w14:paraId="7DF16335" w14:textId="74AD5A97" w:rsidR="00E17E52" w:rsidRDefault="00E17E52" w:rsidP="00EE10D2"/>
    <w:p w14:paraId="069ACE06" w14:textId="1351890D" w:rsidR="006C6405" w:rsidRPr="006C6405" w:rsidRDefault="006C6405" w:rsidP="00EE10D2">
      <w:r w:rsidRPr="006C6405">
        <w:t>Revenue is below budget during the period mainly due to:</w:t>
      </w:r>
    </w:p>
    <w:p w14:paraId="7BDE6F81" w14:textId="1B651CEF" w:rsidR="006C6405" w:rsidRPr="006C6405" w:rsidRDefault="006C6405" w:rsidP="00EE10D2">
      <w:r w:rsidRPr="006C6405">
        <w:t>Rephased revenue from dividends to be declared in October 2022. This is expected to materially align with the annual budget at the end of the financial year.</w:t>
      </w:r>
    </w:p>
    <w:p w14:paraId="1F6891F7" w14:textId="5B384304" w:rsidR="006C6405" w:rsidRPr="006C6405" w:rsidRDefault="006C6405" w:rsidP="00EE10D2">
      <w:r w:rsidRPr="006C6405">
        <w:t>Rephased revenue from rates and utility charges relating to commercial and residential properties. This is expected to materially align with the annual budget at the end of the financial year.</w:t>
      </w:r>
    </w:p>
    <w:p w14:paraId="09B46C01" w14:textId="5CB8F99D" w:rsidR="006C6405" w:rsidRPr="00254526" w:rsidRDefault="006C6405" w:rsidP="00EE10D2">
      <w:r w:rsidRPr="006C6405">
        <w:t xml:space="preserve">Partly offset by </w:t>
      </w:r>
      <w:r w:rsidR="00BB71FE" w:rsidRPr="00254526">
        <w:t>earlier</w:t>
      </w:r>
      <w:r w:rsidRPr="00254526">
        <w:t xml:space="preserve"> than anticipated revenue from interest on deposits. </w:t>
      </w:r>
      <w:r w:rsidR="00BB71FE" w:rsidRPr="00254526">
        <w:t>This will continue to be monitored throughout the year and be adjusted at a future budget review if required.</w:t>
      </w:r>
    </w:p>
    <w:p w14:paraId="69A00979" w14:textId="77777777" w:rsidR="006C6405" w:rsidRPr="006C6405" w:rsidRDefault="006C6405" w:rsidP="00EE10D2"/>
    <w:p w14:paraId="3B98601E" w14:textId="0D10E969" w:rsidR="006C6405" w:rsidRPr="006C6405" w:rsidRDefault="006C6405" w:rsidP="00EE10D2">
      <w:r w:rsidRPr="006C6405">
        <w:t xml:space="preserve">Operating expenses </w:t>
      </w:r>
      <w:r w:rsidR="009C10BB">
        <w:t>are</w:t>
      </w:r>
      <w:r w:rsidRPr="006C6405">
        <w:t xml:space="preserve"> below budget during the period mainly due to:</w:t>
      </w:r>
    </w:p>
    <w:p w14:paraId="5FAC2DB9" w14:textId="02C18FE3" w:rsidR="006C6405" w:rsidRPr="006C6405" w:rsidRDefault="006C6405" w:rsidP="00EE10D2">
      <w:r w:rsidRPr="006C6405">
        <w:t xml:space="preserve">Rephased expenditure in the Financially Sustainable Council strategy, mainly relating to the phasing of corporate cost allocations to projects. </w:t>
      </w:r>
    </w:p>
    <w:p w14:paraId="6B62EF57" w14:textId="16B61F75" w:rsidR="006C6405" w:rsidRPr="006C6405" w:rsidRDefault="006C6405" w:rsidP="00EE10D2">
      <w:r w:rsidRPr="006C6405">
        <w:t>Rephased expenditure in the Well Governed City strategy, mainly relating to the treatment of cost allocations for insurance premiums.</w:t>
      </w:r>
    </w:p>
    <w:p w14:paraId="4D84D457" w14:textId="622BBD10" w:rsidR="006C6405" w:rsidRPr="006C6405" w:rsidRDefault="006C6405" w:rsidP="00EE10D2">
      <w:r w:rsidRPr="006C6405">
        <w:t>Rephased expenditure in the Talented, Capable and Efficient Council strategy, mainly relating to the Enterprise Resource Planning (ERP) Digital Program and the Field Worker Mobility project.</w:t>
      </w:r>
    </w:p>
    <w:p w14:paraId="7BD2F1A2" w14:textId="1AE754FB" w:rsidR="006C6405" w:rsidRPr="006C6405" w:rsidRDefault="006C6405" w:rsidP="00EE10D2">
      <w:r w:rsidRPr="006C6405">
        <w:t>Partly offset by accelerated expenditure in the Safe and Resilient City strategy, mainly relating to the February 2022 Flood Damage – Counter Disaster Operations project.</w:t>
      </w:r>
    </w:p>
    <w:p w14:paraId="668CC07F" w14:textId="77777777" w:rsidR="006C6405" w:rsidRPr="006C6405" w:rsidRDefault="006C6405" w:rsidP="00EE10D2"/>
    <w:p w14:paraId="40C1B0A9" w14:textId="76849893" w:rsidR="006C6405" w:rsidRPr="006C6405" w:rsidRDefault="006C6405" w:rsidP="00EE10D2">
      <w:r w:rsidRPr="006C6405">
        <w:t>Capital expenditure is below budget during the period mainly due to:</w:t>
      </w:r>
    </w:p>
    <w:p w14:paraId="61A32C24" w14:textId="03BECD88" w:rsidR="006C6405" w:rsidRPr="006C6405" w:rsidRDefault="006C6405" w:rsidP="00EE10D2">
      <w:r w:rsidRPr="006C6405">
        <w:t>Rephased expenditure in the Financially Sustainable Council strategy, mainly relating to capitalised interest on major projects.</w:t>
      </w:r>
    </w:p>
    <w:p w14:paraId="4BE15EBC" w14:textId="6331456D" w:rsidR="006C6405" w:rsidRPr="006C6405" w:rsidRDefault="006C6405" w:rsidP="00EE10D2">
      <w:r w:rsidRPr="006C6405">
        <w:t>Rephased expenditure in the Asset Performance and Optimisation strategy, mainly relating to the Fleet Replacement Program.</w:t>
      </w:r>
    </w:p>
    <w:p w14:paraId="1FFC1D3A" w14:textId="77777777" w:rsidR="006C6405" w:rsidRPr="006C6405" w:rsidRDefault="006C6405" w:rsidP="00EE10D2"/>
    <w:p w14:paraId="39794473" w14:textId="25FA0620" w:rsidR="006C6405" w:rsidRPr="006C6405" w:rsidRDefault="006C6405" w:rsidP="00EE10D2">
      <w:r w:rsidRPr="006C6405">
        <w:t>Operating expenses and capital expenditure are expected to materially align with the annual budget at the end of the financial year.</w:t>
      </w:r>
    </w:p>
    <w:p w14:paraId="7D75B83F" w14:textId="225EE338" w:rsidR="00FF2697" w:rsidRDefault="00D117A0" w:rsidP="00D117A0">
      <w:pPr>
        <w:jc w:val="center"/>
        <w:rPr>
          <w:rFonts w:eastAsia="Times New Roman" w:cstheme="majorBidi"/>
          <w:b/>
          <w:snapToGrid w:val="0"/>
          <w:color w:val="0067B1"/>
          <w:sz w:val="28"/>
          <w:szCs w:val="32"/>
          <w:lang w:val="en-AU"/>
        </w:rPr>
      </w:pPr>
      <w:r>
        <w:rPr>
          <w:noProof/>
        </w:rPr>
        <w:drawing>
          <wp:inline distT="0" distB="0" distL="0" distR="0" wp14:anchorId="633B5BF7" wp14:editId="215A28BF">
            <wp:extent cx="5953125" cy="1800225"/>
            <wp:effectExtent l="0" t="0" r="9525" b="9525"/>
            <wp:docPr id="15" name="Picture 15" descr="This graph shows Program 8 – City Governance total expenses (operating and capital) by strategy for the period ended September 2022.&#10;&#10;Financially Sustainable Council $45.4 million&#10;Talented, Capable and Efficient Council $13.4 million&#10;Asset Performance and Optimisation $11.4 million&#10;Well Governed City $11.2 million&#10;Other strategies $5.7 million&#10;Total expenses by strategy (operating and capital) $87.1 mill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graph shows Program 8 – City Governance total expenses (operating and capital) by strategy for the period ended September 2022.&#10;&#10;Financially Sustainable Council $45.4 million&#10;Talented, Capable and Efficient Council $13.4 million&#10;Asset Performance and Optimisation $11.4 million&#10;Well Governed City $11.2 million&#10;Other strategies $5.7 million&#10;Total expenses by strategy (operating and capital) $87.1 million&#10;"/>
                    <pic:cNvPicPr/>
                  </pic:nvPicPr>
                  <pic:blipFill>
                    <a:blip r:embed="rId46"/>
                    <a:stretch>
                      <a:fillRect/>
                    </a:stretch>
                  </pic:blipFill>
                  <pic:spPr>
                    <a:xfrm>
                      <a:off x="0" y="0"/>
                      <a:ext cx="5953125" cy="1800225"/>
                    </a:xfrm>
                    <a:prstGeom prst="rect">
                      <a:avLst/>
                    </a:prstGeom>
                  </pic:spPr>
                </pic:pic>
              </a:graphicData>
            </a:graphic>
          </wp:inline>
        </w:drawing>
      </w:r>
      <w:r>
        <w:t xml:space="preserve"> </w:t>
      </w:r>
    </w:p>
    <w:p w14:paraId="7D98F8E4" w14:textId="6D3B880B" w:rsidR="00BE34DF" w:rsidRDefault="00BE34DF" w:rsidP="002B71AD">
      <w:pPr>
        <w:jc w:val="center"/>
        <w:rPr>
          <w:noProof/>
        </w:rPr>
      </w:pPr>
    </w:p>
    <w:p w14:paraId="2D082D93" w14:textId="4FEBC16D" w:rsidR="00B31571" w:rsidRPr="00110C6F" w:rsidRDefault="00B31571" w:rsidP="00EE10D2">
      <w:pPr>
        <w:pStyle w:val="Heading4black"/>
      </w:pPr>
      <w:r w:rsidRPr="00110C6F">
        <w:t>Highlights and updates on key program strategies from the Annual Operational Plan</w:t>
      </w:r>
    </w:p>
    <w:p w14:paraId="22685F8C" w14:textId="77777777" w:rsidR="00110C6F" w:rsidRPr="00AF4675" w:rsidRDefault="00110C6F" w:rsidP="00110C6F">
      <w:pPr>
        <w:pStyle w:val="NormalCouncilblue"/>
        <w:spacing w:after="0" w:line="240" w:lineRule="auto"/>
        <w:rPr>
          <w:b/>
          <w:bCs/>
        </w:rPr>
      </w:pPr>
    </w:p>
    <w:tbl>
      <w:tblPr>
        <w:tblStyle w:val="ListTable3-Accent1"/>
        <w:tblW w:w="9634" w:type="dxa"/>
        <w:tblBorders>
          <w:top w:val="single" w:sz="4" w:space="0" w:color="0067B1"/>
          <w:left w:val="single" w:sz="4" w:space="0" w:color="0067B1"/>
          <w:bottom w:val="single" w:sz="4" w:space="0" w:color="0067B1"/>
          <w:right w:val="single" w:sz="4" w:space="0" w:color="0067B1"/>
          <w:insideH w:val="single" w:sz="4" w:space="0" w:color="0067B1"/>
          <w:insideV w:val="single" w:sz="4" w:space="0" w:color="0067B1"/>
        </w:tblBorders>
        <w:tblLook w:val="04A0" w:firstRow="1" w:lastRow="0" w:firstColumn="1" w:lastColumn="0" w:noHBand="0" w:noVBand="1"/>
        <w:tblCaption w:val="HIghlights and updates on key program strategies from the annual operational plan"/>
        <w:tblDescription w:val="Strategy, Highlights and Updates&#10; Well Governed City&#10;Supported the administration, organisation and functioning of six Council meetings, 48 Committee meetings and 10 Civic Cabinet meetings held during the period. Processed 145 Right to Information and Information Privacy applications during the period.&#10;Informed and Engaged City&#10;Supported the development and communication of Council plans and strategies including the Reconciliation Action Plan, Rebuild and Recover: Flood Resilience Action Plan and 2021-22 Annual Report. Promoted and raised awareness of Council initiatives through communication campaigns and media coverage of the Brisbane Severe Weather Alert, Super Sandbag weekends, progress on the Brisbane Metro project and the launch of the Victoria Park/Barrambin Master Plan. Hosted more than 36 civic events including multiple courtesy calls, Country Women’s Association 100-year Birthday Morning Tea, Lord Mayor’s Charitable Trust Fashion Show, Brisbane Fashion Festival Civic Reception, National Flag Day and Social Enterprise World Forum Civic Reception. Council made Australian history by hosting the largest Citizenship Ceremony with the most conferees attending a ceremony. During the month of August 2022, Council held three back-to-back ceremonies, conferring a total of 5800 new citizens in three days.&#10;Safe and Resilient City&#10;Supported Council-wide action on the 2022 Flood Review Recommendations and Flood Resilience Action Plan to support Council’s preparedness for the 2022-23 severe weather season and future disaster events. Increased subscribership to the Brisbane Severe Weather Alert service with 4020 new subscribers registered during the period, bringing the total subscribers to 176,830 ahead of a major promotional campaign during severe weather season. Developed and rolled out a training program for Councillors and ward offices to provide an overview of disaster management and raise awareness of Councillor responsibilities before, during and after a severe weather event.&#10;Financially Sustainable Council&#10;Facilitated the application and approval process for the $1,000&#10;rates rebate for ratepayers whose homes were rendered&#10;uninhabitable by the S,E,Q,R,F,E 2022. Approximately $300,000 in&#10;rebates were approved during the period.&#10;Operationalised the introduction of new rating categories to&#10;encourage more properties to be available on the long-term rental&#10;market. This means houses and units rented to paying guests for&#10;temporary accommodation purposes will pay higher rates.&#10;Continued to support Brisbane's senior citizens through Council's&#10;40% pensioner rates rebate, providing fi-nancial relief of over&#10;$5 million during the period.&#10;Asset Performance and Optimisation&#10;Continued to manage ongoing supply chain impacts to Council’s Fleet Replacement Program. Delivered the new Enoggera Ward Office after Council’s lease at the previous site was unable to be continued.&#10;Talented, Capable and Efficient Council&#10;Onboarded 81 new participants to Council’s employment pathway&#10;initiatives, bringing the total number of participants to 210 during&#10;the period. This includes apprenticeships, pre-trade work&#10;experience, traineeships, cadetships, tertiary work experience,&#10;graduate and emerging capabilities programs, as well as the&#10;disABILITY ACTION at WORK project.&#10;Reviewed and updated the Organisational Zero Harm Strategy for&#10;2022-2026. This strategy supports Council’s leaders and workers to&#10;understand their role in achieving the aspirational goal of Zero&#10;Harm across all of Council’s workplaces.&#10;On track to achieve Council’s 80% local buy target with&#10;$332 million invested with local suppliers during the period.&#10;On track to achieve Council’s $10 million spend target with&#10;$3.8 million invested with social enterprises during the period.&#10;Contract executed for the Field Worker Mobility Solution, enabling&#10;the next phase of the project.&#10;Delivered nine tactical improvements across the HR/Payroll,&#10;Procurement, Asset Management and Fi-nance through the&#10;Enterprise Resource Planning (ERP) Digital Program.&#10;Progressed the Spatial Enablement Program, with contract&#10;executed for Council’s new spatial hosted service provider.&#10;Continued to rollout robotic process automations across Council to&#10;improve efficiency, saving approximately 500 hours per month in&#10;manual tasks.&#10;Delivered 53 system and process modernisation initiatives,&#10;leveraging cross-functional teams and agile tools and processes to&#10;deliver tactical improvements across Council."/>
      </w:tblPr>
      <w:tblGrid>
        <w:gridCol w:w="2405"/>
        <w:gridCol w:w="7229"/>
      </w:tblGrid>
      <w:tr w:rsidR="00B31571" w:rsidRPr="00ED3210" w14:paraId="527CF67F" w14:textId="77777777" w:rsidTr="008F7DF5">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shd w:val="clear" w:color="auto" w:fill="0067B1"/>
          </w:tcPr>
          <w:p w14:paraId="1B565380" w14:textId="77777777" w:rsidR="00B31571" w:rsidRPr="00A71510" w:rsidRDefault="00B31571" w:rsidP="00EE10D2">
            <w:pPr>
              <w:rPr>
                <w:color w:val="0070C0"/>
              </w:rPr>
            </w:pPr>
            <w:r w:rsidRPr="00A71510">
              <w:t>Strategy</w:t>
            </w:r>
          </w:p>
        </w:tc>
        <w:tc>
          <w:tcPr>
            <w:tcW w:w="7229" w:type="dxa"/>
            <w:shd w:val="clear" w:color="auto" w:fill="0067B1"/>
          </w:tcPr>
          <w:p w14:paraId="59CE1809" w14:textId="77777777" w:rsidR="00B31571" w:rsidRPr="00ED3210" w:rsidRDefault="00B31571" w:rsidP="00EE10D2">
            <w:pPr>
              <w:cnfStyle w:val="100000000000" w:firstRow="1" w:lastRow="0" w:firstColumn="0" w:lastColumn="0" w:oddVBand="0" w:evenVBand="0" w:oddHBand="0" w:evenHBand="0" w:firstRowFirstColumn="0" w:firstRowLastColumn="0" w:lastRowFirstColumn="0" w:lastRowLastColumn="0"/>
              <w:rPr>
                <w:color w:val="auto"/>
              </w:rPr>
            </w:pPr>
            <w:r>
              <w:t>Highlights and updates</w:t>
            </w:r>
          </w:p>
        </w:tc>
      </w:tr>
      <w:tr w:rsidR="003B0C43" w:rsidRPr="00ED3210" w14:paraId="42EAD575" w14:textId="77777777" w:rsidTr="008F7DF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1F094F30" w14:textId="6F786749" w:rsidR="003B0C43" w:rsidRPr="00115E47" w:rsidRDefault="003B0C43" w:rsidP="00EE10D2">
            <w:pPr>
              <w:rPr>
                <w:b w:val="0"/>
                <w:noProof/>
                <w:snapToGrid w:val="0"/>
                <w:lang w:val="en-US"/>
              </w:rPr>
            </w:pPr>
            <w:r w:rsidRPr="00115E47">
              <w:rPr>
                <w:rFonts w:eastAsia="Calibri"/>
              </w:rPr>
              <w:t>Well Governed City</w:t>
            </w:r>
          </w:p>
        </w:tc>
        <w:tc>
          <w:tcPr>
            <w:tcW w:w="7229" w:type="dxa"/>
            <w:tcBorders>
              <w:top w:val="none" w:sz="0" w:space="0" w:color="auto"/>
              <w:bottom w:val="none" w:sz="0" w:space="0" w:color="auto"/>
            </w:tcBorders>
          </w:tcPr>
          <w:p w14:paraId="1C227412" w14:textId="77777777" w:rsidR="006C6405" w:rsidRPr="006C6405" w:rsidRDefault="006C6405"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6C6405">
              <w:rPr>
                <w:rFonts w:eastAsiaTheme="minorEastAsia"/>
              </w:rPr>
              <w:t>Supported the administration, organisation and functioning of six Council meetings, 48 Committee meetings and 10 Civic Cabinet meetings held during the period.</w:t>
            </w:r>
          </w:p>
          <w:p w14:paraId="70CB8571" w14:textId="77777777" w:rsidR="006C6405" w:rsidRPr="006C6405" w:rsidRDefault="006C6405"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6C6405">
              <w:rPr>
                <w:rFonts w:eastAsiaTheme="minorEastAsia"/>
              </w:rPr>
              <w:t xml:space="preserve">Processed 145 Right to Information and Information Privacy applications during the period.  </w:t>
            </w:r>
          </w:p>
          <w:p w14:paraId="5D69E7B4" w14:textId="22A7D852" w:rsidR="00110C6F" w:rsidRPr="00115E47" w:rsidRDefault="00110C6F" w:rsidP="00EE10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tc>
      </w:tr>
      <w:tr w:rsidR="003B0C43" w:rsidRPr="00ED3210" w14:paraId="5C2F74DB" w14:textId="77777777" w:rsidTr="008F7DF5">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460BC704" w14:textId="23E11797" w:rsidR="003B0C43" w:rsidRPr="00115E47" w:rsidRDefault="003B0C43" w:rsidP="00EE10D2">
            <w:pPr>
              <w:rPr>
                <w:b w:val="0"/>
                <w:noProof/>
                <w:snapToGrid w:val="0"/>
                <w:lang w:val="en-US"/>
              </w:rPr>
            </w:pPr>
            <w:r w:rsidRPr="00115E47">
              <w:t>Informed and Engaged City</w:t>
            </w:r>
          </w:p>
        </w:tc>
        <w:tc>
          <w:tcPr>
            <w:tcW w:w="7229" w:type="dxa"/>
          </w:tcPr>
          <w:p w14:paraId="1F54DCE5" w14:textId="2F5A885F" w:rsidR="006C6405" w:rsidRPr="006C6405" w:rsidRDefault="006C6405"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6C6405">
              <w:rPr>
                <w:rFonts w:eastAsiaTheme="minorEastAsia"/>
              </w:rPr>
              <w:t xml:space="preserve">Supported the development and communication of Council plans and strategies including the Reconciliation Action Plan, Rebuild and Recover: Flood Resilience Action Plan and 2021-22 Annual Report. </w:t>
            </w:r>
          </w:p>
          <w:p w14:paraId="15AB09B3" w14:textId="72DA791C" w:rsidR="006C6405" w:rsidRPr="006C6405" w:rsidRDefault="006C6405"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6C6405">
              <w:rPr>
                <w:rFonts w:eastAsiaTheme="minorEastAsia"/>
              </w:rPr>
              <w:t>Promoted and raised awareness of Council initiatives through communication campaigns and media coverage of the Brisbane Severe Weather Alert, Super Sandbag weekends, progress on the Brisbane Metro project and the launch of the Victoria Park/</w:t>
            </w:r>
            <w:proofErr w:type="spellStart"/>
            <w:r w:rsidRPr="006C6405">
              <w:rPr>
                <w:rFonts w:eastAsiaTheme="minorEastAsia"/>
              </w:rPr>
              <w:t>Barrambin</w:t>
            </w:r>
            <w:proofErr w:type="spellEnd"/>
            <w:r w:rsidRPr="006C6405">
              <w:rPr>
                <w:rFonts w:eastAsiaTheme="minorEastAsia"/>
              </w:rPr>
              <w:t xml:space="preserve"> Master Plan.  </w:t>
            </w:r>
          </w:p>
          <w:p w14:paraId="5D9FCD99" w14:textId="3BEC937C" w:rsidR="006C6405" w:rsidRPr="006C6405" w:rsidRDefault="006C6405"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6C6405">
              <w:rPr>
                <w:rFonts w:eastAsiaTheme="minorEastAsia"/>
              </w:rPr>
              <w:t xml:space="preserve">Hosted more than 36 civic events including multiple courtesy calls, Country Women’s Association 100-year Birthday Morning Tea, Lord Mayor’s Charitable Trust Fashion Show, Brisbane Fashion Festival Civic Reception, National Flag Day and Social Enterprise World Forum Civic Reception.  </w:t>
            </w:r>
          </w:p>
          <w:p w14:paraId="09527ACF" w14:textId="77777777" w:rsidR="00110C6F" w:rsidRDefault="006C6405"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6C6405">
              <w:rPr>
                <w:rFonts w:eastAsiaTheme="minorEastAsia"/>
              </w:rPr>
              <w:t xml:space="preserve">Council made Australian history by hosting the largest Citizenship Ceremony with the most conferees attending a ceremony. During the month of August 2022, Council held three back-to-back ceremonies, conferring a total of 5800 new citizens in three days.  </w:t>
            </w:r>
          </w:p>
          <w:p w14:paraId="3D616368" w14:textId="3438FD19" w:rsidR="006C6405" w:rsidRPr="006C6405" w:rsidRDefault="006C6405" w:rsidP="00EE10D2">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3B0C43" w:rsidRPr="00ED3210" w14:paraId="1BDC655C" w14:textId="77777777" w:rsidTr="008F7DF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7927E951" w14:textId="47316F8E" w:rsidR="003B0C43" w:rsidRPr="00115E47" w:rsidRDefault="003B0C43" w:rsidP="00EE10D2">
            <w:pPr>
              <w:rPr>
                <w:b w:val="0"/>
                <w:noProof/>
                <w:snapToGrid w:val="0"/>
                <w:lang w:val="en-US"/>
              </w:rPr>
            </w:pPr>
            <w:r w:rsidRPr="00115E47">
              <w:t>Safe and Resilient City</w:t>
            </w:r>
          </w:p>
        </w:tc>
        <w:tc>
          <w:tcPr>
            <w:tcW w:w="7229" w:type="dxa"/>
            <w:tcBorders>
              <w:top w:val="none" w:sz="0" w:space="0" w:color="auto"/>
              <w:bottom w:val="none" w:sz="0" w:space="0" w:color="auto"/>
            </w:tcBorders>
          </w:tcPr>
          <w:p w14:paraId="64F79258" w14:textId="3A9F0504" w:rsidR="00DE0C98" w:rsidRPr="00DE0C98" w:rsidRDefault="00BF3C08"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Supported</w:t>
            </w:r>
            <w:r w:rsidR="00DE0C98" w:rsidRPr="00DE0C98">
              <w:rPr>
                <w:rFonts w:eastAsiaTheme="minorEastAsia"/>
              </w:rPr>
              <w:t xml:space="preserve"> Council-wide action on the 2022 Flood Review Recommendations and Flood Resilience Action Plan to support Council’s preparedness for the 2022-23 severe weather season and future disaster events. </w:t>
            </w:r>
          </w:p>
          <w:p w14:paraId="08B6257F" w14:textId="6205E955" w:rsidR="00DE0C98" w:rsidRPr="00DE0C98" w:rsidRDefault="00DE0C98"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DE0C98">
              <w:rPr>
                <w:rFonts w:eastAsiaTheme="minorEastAsia"/>
              </w:rPr>
              <w:t>Increased subscribership to the Brisbane Severe Weather Alert service with 4020 new subscribers registered during the period, bringing the total subscribers to 176,830 ahead of a major promotional campaign during severe weather season.</w:t>
            </w:r>
          </w:p>
          <w:p w14:paraId="34A2DD63" w14:textId="77777777" w:rsidR="00110C6F" w:rsidRDefault="00DE0C98"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DE0C98">
              <w:rPr>
                <w:rFonts w:eastAsiaTheme="minorEastAsia"/>
              </w:rPr>
              <w:t>Developed and rolled out a training program for Councillors and ward offices to provide an overview of disaster management and raise awareness of Councillor responsibilities before, during and after a severe weather event.</w:t>
            </w:r>
          </w:p>
          <w:p w14:paraId="0B2EC230" w14:textId="3AFA6FE1" w:rsidR="00DE0C98" w:rsidRPr="00DE0C98" w:rsidRDefault="00DE0C98" w:rsidP="00EE10D2">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3B0C43" w:rsidRPr="00ED3210" w14:paraId="5857168C" w14:textId="77777777" w:rsidTr="008F7DF5">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6C06B935" w14:textId="3FA78EB0" w:rsidR="003B0C43" w:rsidRPr="00115E47" w:rsidRDefault="003B0C43" w:rsidP="00EE10D2">
            <w:pPr>
              <w:rPr>
                <w:b w:val="0"/>
                <w:noProof/>
                <w:snapToGrid w:val="0"/>
                <w:lang w:val="en-US"/>
              </w:rPr>
            </w:pPr>
            <w:r w:rsidRPr="00115E47">
              <w:rPr>
                <w:rFonts w:eastAsia="Calibri"/>
              </w:rPr>
              <w:t xml:space="preserve">Financially Sustainable Council </w:t>
            </w:r>
          </w:p>
        </w:tc>
        <w:tc>
          <w:tcPr>
            <w:tcW w:w="7229" w:type="dxa"/>
          </w:tcPr>
          <w:p w14:paraId="1C11EB51" w14:textId="79142C8A"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Facilitated the application and approval process for the $1,000 rates rebate for ratepayers whose homes were rendered uninhabitable by the SEQ</w:t>
            </w:r>
            <w:r w:rsidR="00D628B1">
              <w:rPr>
                <w:rFonts w:eastAsiaTheme="minorEastAsia"/>
              </w:rPr>
              <w:t xml:space="preserve">RFE </w:t>
            </w:r>
            <w:r w:rsidRPr="00DE0C98">
              <w:rPr>
                <w:rFonts w:eastAsiaTheme="minorEastAsia"/>
              </w:rPr>
              <w:t>2022. Approximately $300,000 in rebates were approved during the period.</w:t>
            </w:r>
          </w:p>
          <w:p w14:paraId="767D5272" w14:textId="42011203"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Operationalised the introduction of new rating categories to encourage more properties to be available on the long-term rental market. This means houses and units rented to paying guests for temporary accommodation purposes will pay higher rates.</w:t>
            </w:r>
          </w:p>
          <w:p w14:paraId="58FC0BA1" w14:textId="6F6C13F1" w:rsidR="00DE0C98" w:rsidRPr="00115E47" w:rsidRDefault="00DE0C98" w:rsidP="00EE10D2">
            <w:pPr>
              <w:cnfStyle w:val="000000000000" w:firstRow="0" w:lastRow="0" w:firstColumn="0" w:lastColumn="0" w:oddVBand="0" w:evenVBand="0" w:oddHBand="0" w:evenHBand="0" w:firstRowFirstColumn="0" w:firstRowLastColumn="0" w:lastRowFirstColumn="0" w:lastRowLastColumn="0"/>
            </w:pPr>
            <w:r w:rsidRPr="00DE0C98">
              <w:rPr>
                <w:rFonts w:eastAsiaTheme="minorEastAsia"/>
              </w:rPr>
              <w:t>Continued to support Brisbane's senior citizens through Council's 40% pensioner rates rebate, providing financial relief of over $5</w:t>
            </w:r>
            <w:r w:rsidR="00B17F67">
              <w:rPr>
                <w:rFonts w:eastAsiaTheme="minorEastAsia"/>
              </w:rPr>
              <w:t> </w:t>
            </w:r>
            <w:r w:rsidRPr="00DE0C98">
              <w:rPr>
                <w:rFonts w:eastAsiaTheme="minorEastAsia"/>
              </w:rPr>
              <w:t>million during the period.</w:t>
            </w:r>
          </w:p>
        </w:tc>
      </w:tr>
      <w:tr w:rsidR="003B0C43" w:rsidRPr="00ED3210" w14:paraId="57CF2F93" w14:textId="77777777" w:rsidTr="008F7DF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713D87AF" w14:textId="26D7853A" w:rsidR="003B0C43" w:rsidRPr="00115E47" w:rsidRDefault="003B0C43" w:rsidP="00EE10D2">
            <w:pPr>
              <w:rPr>
                <w:b w:val="0"/>
                <w:noProof/>
                <w:snapToGrid w:val="0"/>
                <w:lang w:val="en-US"/>
              </w:rPr>
            </w:pPr>
            <w:r w:rsidRPr="00115E47">
              <w:lastRenderedPageBreak/>
              <w:t>Asset Performance and Optimisation</w:t>
            </w:r>
          </w:p>
        </w:tc>
        <w:tc>
          <w:tcPr>
            <w:tcW w:w="7229" w:type="dxa"/>
            <w:tcBorders>
              <w:top w:val="none" w:sz="0" w:space="0" w:color="auto"/>
              <w:bottom w:val="none" w:sz="0" w:space="0" w:color="auto"/>
            </w:tcBorders>
          </w:tcPr>
          <w:p w14:paraId="0E5F682D" w14:textId="75B36651" w:rsidR="00DE0C98" w:rsidRPr="00DE0C98" w:rsidRDefault="00DE0C98" w:rsidP="00EE10D2">
            <w:pPr>
              <w:cnfStyle w:val="000000100000" w:firstRow="0" w:lastRow="0" w:firstColumn="0" w:lastColumn="0" w:oddVBand="0" w:evenVBand="0" w:oddHBand="1" w:evenHBand="0" w:firstRowFirstColumn="0" w:firstRowLastColumn="0" w:lastRowFirstColumn="0" w:lastRowLastColumn="0"/>
              <w:rPr>
                <w:rFonts w:eastAsiaTheme="minorEastAsia"/>
              </w:rPr>
            </w:pPr>
            <w:r w:rsidRPr="00DE0C98">
              <w:rPr>
                <w:rFonts w:eastAsiaTheme="minorEastAsia"/>
              </w:rPr>
              <w:t>Continued to manage ongoing supply chain impacts to Council’s Fleet Replacement Program.</w:t>
            </w:r>
          </w:p>
          <w:p w14:paraId="39006437" w14:textId="77777777" w:rsidR="00110C6F" w:rsidRPr="00DE0C98" w:rsidRDefault="00DE0C98" w:rsidP="00EE10D2">
            <w:pPr>
              <w:cnfStyle w:val="000000100000" w:firstRow="0" w:lastRow="0" w:firstColumn="0" w:lastColumn="0" w:oddVBand="0" w:evenVBand="0" w:oddHBand="1" w:evenHBand="0" w:firstRowFirstColumn="0" w:firstRowLastColumn="0" w:lastRowFirstColumn="0" w:lastRowLastColumn="0"/>
            </w:pPr>
            <w:r w:rsidRPr="00DE0C98">
              <w:rPr>
                <w:rFonts w:eastAsiaTheme="minorEastAsia"/>
              </w:rPr>
              <w:t>Delivered the new Enoggera Ward Office after Council’s lease at the previous site was unable to be continued.</w:t>
            </w:r>
          </w:p>
          <w:p w14:paraId="608B3723" w14:textId="37A11070" w:rsidR="00DE0C98" w:rsidRPr="00115E47" w:rsidRDefault="00DE0C98" w:rsidP="00EE10D2">
            <w:pPr>
              <w:cnfStyle w:val="000000100000" w:firstRow="0" w:lastRow="0" w:firstColumn="0" w:lastColumn="0" w:oddVBand="0" w:evenVBand="0" w:oddHBand="1" w:evenHBand="0" w:firstRowFirstColumn="0" w:firstRowLastColumn="0" w:lastRowFirstColumn="0" w:lastRowLastColumn="0"/>
            </w:pPr>
          </w:p>
        </w:tc>
      </w:tr>
      <w:tr w:rsidR="003B0C43" w:rsidRPr="00ED3210" w14:paraId="558A6A0A" w14:textId="77777777" w:rsidTr="008F7DF5">
        <w:trPr>
          <w:trHeight w:val="311"/>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77BFBB2A" w14:textId="77777777" w:rsidR="003B0C43" w:rsidRPr="00115E47" w:rsidRDefault="003B0C43" w:rsidP="00EE10D2">
            <w:r w:rsidRPr="00115E47">
              <w:t>Talented, Capable and Efficient Council</w:t>
            </w:r>
          </w:p>
          <w:p w14:paraId="117C3046" w14:textId="77777777" w:rsidR="003B0C43" w:rsidRPr="00115E47" w:rsidRDefault="003B0C43" w:rsidP="00EE10D2"/>
          <w:p w14:paraId="6454A433" w14:textId="77777777" w:rsidR="003B0C43" w:rsidRPr="00115E47" w:rsidRDefault="003B0C43" w:rsidP="00EE10D2"/>
          <w:p w14:paraId="1E2C3044" w14:textId="77777777" w:rsidR="003B0C43" w:rsidRPr="00115E47" w:rsidRDefault="003B0C43" w:rsidP="00EE10D2"/>
          <w:p w14:paraId="20445E39" w14:textId="77777777" w:rsidR="003B0C43" w:rsidRPr="00115E47" w:rsidRDefault="003B0C43" w:rsidP="00EE10D2"/>
          <w:p w14:paraId="79DF690D" w14:textId="77777777" w:rsidR="003B0C43" w:rsidRPr="00115E47" w:rsidRDefault="003B0C43" w:rsidP="00EE10D2"/>
          <w:p w14:paraId="0ACE0858" w14:textId="77777777" w:rsidR="003B0C43" w:rsidRPr="00115E47" w:rsidRDefault="003B0C43" w:rsidP="00EE10D2"/>
          <w:p w14:paraId="1D22CBBF" w14:textId="77777777" w:rsidR="003B0C43" w:rsidRPr="00115E47" w:rsidRDefault="003B0C43" w:rsidP="00EE10D2"/>
          <w:p w14:paraId="5AEF2591" w14:textId="77777777" w:rsidR="003B0C43" w:rsidRPr="00115E47" w:rsidRDefault="003B0C43" w:rsidP="00EE10D2"/>
          <w:p w14:paraId="23811AF2" w14:textId="77777777" w:rsidR="003B0C43" w:rsidRPr="00115E47" w:rsidRDefault="003B0C43" w:rsidP="00EE10D2"/>
          <w:p w14:paraId="1B633990" w14:textId="77777777" w:rsidR="003B0C43" w:rsidRPr="00115E47" w:rsidRDefault="003B0C43" w:rsidP="00EE10D2">
            <w:pPr>
              <w:rPr>
                <w:b w:val="0"/>
                <w:noProof/>
                <w:snapToGrid w:val="0"/>
                <w:lang w:val="en-US"/>
              </w:rPr>
            </w:pPr>
          </w:p>
        </w:tc>
        <w:tc>
          <w:tcPr>
            <w:tcW w:w="7229" w:type="dxa"/>
          </w:tcPr>
          <w:p w14:paraId="1D760BA8" w14:textId="4137595A"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 xml:space="preserve">Onboarded 81 new participants to Council’s employment pathway initiatives, bringing the total number of participants to 210 during the period. This includes apprenticeships, pre-trade work experience, traineeships, cadetships, tertiary work experience, graduate and emerging capabilities programs, as well as </w:t>
            </w:r>
            <w:r w:rsidR="00F52961">
              <w:rPr>
                <w:rFonts w:eastAsiaTheme="minorEastAsia"/>
              </w:rPr>
              <w:t>the</w:t>
            </w:r>
            <w:r w:rsidRPr="00DE0C98">
              <w:rPr>
                <w:rFonts w:eastAsiaTheme="minorEastAsia"/>
              </w:rPr>
              <w:t xml:space="preserve"> </w:t>
            </w:r>
            <w:proofErr w:type="spellStart"/>
            <w:r w:rsidR="00D937A5">
              <w:rPr>
                <w:rFonts w:eastAsiaTheme="minorEastAsia"/>
              </w:rPr>
              <w:t>d</w:t>
            </w:r>
            <w:r w:rsidRPr="00DE0C98">
              <w:rPr>
                <w:rFonts w:eastAsiaTheme="minorEastAsia"/>
              </w:rPr>
              <w:t>isABILITY</w:t>
            </w:r>
            <w:proofErr w:type="spellEnd"/>
            <w:r w:rsidRPr="00DE0C98">
              <w:rPr>
                <w:rFonts w:eastAsiaTheme="minorEastAsia"/>
              </w:rPr>
              <w:t xml:space="preserve"> ACTION at WORK pro</w:t>
            </w:r>
            <w:r w:rsidR="00F52961">
              <w:rPr>
                <w:rFonts w:eastAsiaTheme="minorEastAsia"/>
              </w:rPr>
              <w:t>ject</w:t>
            </w:r>
            <w:r w:rsidRPr="00DE0C98">
              <w:rPr>
                <w:rFonts w:eastAsiaTheme="minorEastAsia"/>
              </w:rPr>
              <w:t>.</w:t>
            </w:r>
          </w:p>
          <w:p w14:paraId="54AA00ED" w14:textId="77777777"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Reviewed and updated the Organisational Zero Harm Strategy for 2022-2026. This strategy supports Council’s leaders and workers to understand their role in achieving the aspirational goal of Zero Harm across all of Council’s workplaces.</w:t>
            </w:r>
          </w:p>
          <w:p w14:paraId="18F25639" w14:textId="5E22D72D" w:rsidR="00DE0C98" w:rsidRPr="0028038C"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 xml:space="preserve">On track to achieve Council’s 80% local buy target with </w:t>
            </w:r>
            <w:r w:rsidRPr="0028038C">
              <w:rPr>
                <w:rFonts w:eastAsiaTheme="minorEastAsia"/>
              </w:rPr>
              <w:t>$332</w:t>
            </w:r>
            <w:r w:rsidR="0028038C">
              <w:rPr>
                <w:rFonts w:eastAsiaTheme="minorEastAsia"/>
              </w:rPr>
              <w:t> </w:t>
            </w:r>
            <w:r w:rsidRPr="0028038C">
              <w:rPr>
                <w:rFonts w:eastAsiaTheme="minorEastAsia"/>
              </w:rPr>
              <w:t>million invested with local suppliers during the period.</w:t>
            </w:r>
          </w:p>
          <w:p w14:paraId="23E27F2F" w14:textId="657EC29B"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On track to achieve Council’s $10 million spend target with $3.8</w:t>
            </w:r>
            <w:r w:rsidR="0028038C">
              <w:rPr>
                <w:rFonts w:eastAsiaTheme="minorEastAsia"/>
              </w:rPr>
              <w:t> </w:t>
            </w:r>
            <w:r w:rsidRPr="00DE0C98">
              <w:rPr>
                <w:rFonts w:eastAsiaTheme="minorEastAsia"/>
              </w:rPr>
              <w:t>million invested with social enterprises during the period.</w:t>
            </w:r>
          </w:p>
          <w:p w14:paraId="4335E393" w14:textId="77777777"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Contract executed for the Field Worker Mobility Solution, enabling the next phase of the project.</w:t>
            </w:r>
          </w:p>
          <w:p w14:paraId="05684C68" w14:textId="764F2794"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Delivered nine tactical improvements across the HR/Payroll, Procurement, Asset Management and Finance through the Enterprise Resource Planning (ERP) Digital Program.</w:t>
            </w:r>
          </w:p>
          <w:p w14:paraId="0D47E8A2" w14:textId="16E2E1D6"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Progressed the Spatial Enablement Program, with contract executed for Council’s new spatial hosted service provider.</w:t>
            </w:r>
          </w:p>
          <w:p w14:paraId="1AB440D5" w14:textId="77777777"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Continued to rollout robotic process automations across Council to improve efficiency, saving approximately 500 hours per month in manual tasks.</w:t>
            </w:r>
          </w:p>
          <w:p w14:paraId="4ED5910E" w14:textId="77777777" w:rsidR="00110C6F"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r w:rsidRPr="00DE0C98">
              <w:rPr>
                <w:rFonts w:eastAsiaTheme="minorEastAsia"/>
              </w:rPr>
              <w:t>Delivered 53 system and process modernisation initiatives, leveraging cross-functional teams and agile tools and processes to deliver tactical improvements across Council.</w:t>
            </w:r>
          </w:p>
          <w:p w14:paraId="48A3F8BE" w14:textId="01AFC2EC" w:rsidR="00DE0C98" w:rsidRPr="00DE0C98" w:rsidRDefault="00DE0C98" w:rsidP="00EE10D2">
            <w:pPr>
              <w:cnfStyle w:val="000000000000" w:firstRow="0" w:lastRow="0" w:firstColumn="0" w:lastColumn="0" w:oddVBand="0" w:evenVBand="0" w:oddHBand="0" w:evenHBand="0" w:firstRowFirstColumn="0" w:firstRowLastColumn="0" w:lastRowFirstColumn="0" w:lastRowLastColumn="0"/>
              <w:rPr>
                <w:rFonts w:eastAsiaTheme="minorEastAsia"/>
              </w:rPr>
            </w:pPr>
          </w:p>
        </w:tc>
      </w:tr>
    </w:tbl>
    <w:p w14:paraId="5C26AA48" w14:textId="77777777" w:rsidR="00516011" w:rsidRDefault="00516011" w:rsidP="00BE34DF">
      <w:pPr>
        <w:spacing w:after="160" w:line="259" w:lineRule="auto"/>
        <w:jc w:val="both"/>
        <w:sectPr w:rsidR="00516011" w:rsidSect="0013507F">
          <w:footerReference w:type="default" r:id="rId47"/>
          <w:pgSz w:w="11900" w:h="16840"/>
          <w:pgMar w:top="1440" w:right="1134" w:bottom="1440" w:left="1134" w:header="709" w:footer="709" w:gutter="0"/>
          <w:cols w:space="708"/>
          <w:docGrid w:linePitch="360"/>
        </w:sectPr>
      </w:pPr>
    </w:p>
    <w:p w14:paraId="2B229F81" w14:textId="464154D5" w:rsidR="00386B12" w:rsidRPr="00110C6F" w:rsidRDefault="00386B12" w:rsidP="0057257F">
      <w:pPr>
        <w:pStyle w:val="Heading3"/>
      </w:pPr>
      <w:bookmarkStart w:id="33" w:name="_Toc127436762"/>
      <w:r w:rsidRPr="00110C6F">
        <w:lastRenderedPageBreak/>
        <w:t>B</w:t>
      </w:r>
      <w:r w:rsidR="007371B6" w:rsidRPr="00110C6F">
        <w:t>usinesses</w:t>
      </w:r>
      <w:bookmarkEnd w:id="23"/>
      <w:bookmarkEnd w:id="24"/>
      <w:bookmarkEnd w:id="25"/>
      <w:bookmarkEnd w:id="33"/>
    </w:p>
    <w:p w14:paraId="6A4DEEA1" w14:textId="77777777" w:rsidR="00386B12" w:rsidRPr="00BF6FC2" w:rsidRDefault="00386B12" w:rsidP="00386B12">
      <w:pPr>
        <w:rPr>
          <w:rFonts w:cs="Arial"/>
          <w:sz w:val="20"/>
          <w:szCs w:val="20"/>
        </w:rPr>
      </w:pPr>
    </w:p>
    <w:p w14:paraId="087E41B0" w14:textId="0B66AC41" w:rsidR="00386B12" w:rsidRDefault="00386B12" w:rsidP="0057257F">
      <w:pPr>
        <w:pStyle w:val="Heading4black"/>
      </w:pPr>
      <w:r w:rsidRPr="00110C6F">
        <w:t>Transport for Brisbane</w:t>
      </w:r>
    </w:p>
    <w:p w14:paraId="26F39086" w14:textId="1FDF0283" w:rsidR="00386B12" w:rsidRDefault="00386B12" w:rsidP="00866657">
      <w:pPr>
        <w:ind w:hanging="11"/>
      </w:pPr>
    </w:p>
    <w:p w14:paraId="33607CEE" w14:textId="38762125" w:rsidR="00110C6F" w:rsidRDefault="004D36CF" w:rsidP="004D36CF">
      <w:pPr>
        <w:jc w:val="center"/>
        <w:rPr>
          <w:rFonts w:eastAsia="Arial" w:cs="Arial"/>
          <w:szCs w:val="22"/>
        </w:rPr>
      </w:pPr>
      <w:r>
        <w:rPr>
          <w:noProof/>
        </w:rPr>
        <w:drawing>
          <wp:inline distT="0" distB="0" distL="0" distR="0" wp14:anchorId="26E2686D" wp14:editId="6A117134">
            <wp:extent cx="6116320" cy="1627505"/>
            <wp:effectExtent l="0" t="0" r="0" b="0"/>
            <wp:docPr id="24" name="Picture 10" descr="This graph shows Transport For Brisbane revenue, operating expenses and capital expenditure for the period ended September 2022, against the approved annual budget.&#10;&#10;Revenue&#10;$89.9 million (actual)&#10;$353.4 million (approved annual budget)&#10;&#10;Operating expenses&#10;$84.4 million (actual)&#10;$364.4 million (approved annual budget)&#10;&#10;Capital expenditure&#10;$195.0 thousand (actual)&#10;$7.1 million (approved annual budget)&#10;">
              <a:extLst xmlns:a="http://schemas.openxmlformats.org/drawingml/2006/main">
                <a:ext uri="{FF2B5EF4-FFF2-40B4-BE49-F238E27FC236}">
                  <a16:creationId xmlns:a16="http://schemas.microsoft.com/office/drawing/2014/main" id="{949356B1-6787-41EE-B8CE-FAE3F57726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0" descr="This graph shows Transport For Brisbane revenue, operating expenses and capital expenditure for the period ended September 2022, against the approved annual budget.&#10;&#10;Revenue&#10;$89.9 million (actual)&#10;$353.4 million (approved annual budget)&#10;&#10;Operating expenses&#10;$84.4 million (actual)&#10;$364.4 million (approved annual budget)&#10;&#10;Capital expenditure&#10;$195.0 thousand (actual)&#10;$7.1 million (approved annual budget)&#10;">
                      <a:extLst>
                        <a:ext uri="{FF2B5EF4-FFF2-40B4-BE49-F238E27FC236}">
                          <a16:creationId xmlns:a16="http://schemas.microsoft.com/office/drawing/2014/main" id="{949356B1-6787-41EE-B8CE-FAE3F5772698}"/>
                        </a:ext>
                      </a:extLst>
                    </pic:cNvPr>
                    <pic:cNvPicPr>
                      <a:picLocks noChangeAspect="1"/>
                    </pic:cNvPicPr>
                  </pic:nvPicPr>
                  <pic:blipFill>
                    <a:blip r:embed="rId48"/>
                    <a:stretch>
                      <a:fillRect/>
                    </a:stretch>
                  </pic:blipFill>
                  <pic:spPr>
                    <a:xfrm>
                      <a:off x="0" y="0"/>
                      <a:ext cx="6116320" cy="1627505"/>
                    </a:xfrm>
                    <a:prstGeom prst="rect">
                      <a:avLst/>
                    </a:prstGeom>
                  </pic:spPr>
                </pic:pic>
              </a:graphicData>
            </a:graphic>
          </wp:inline>
        </w:drawing>
      </w:r>
    </w:p>
    <w:p w14:paraId="279021AF" w14:textId="77777777" w:rsidR="004D36CF" w:rsidRDefault="004D36CF" w:rsidP="007E2A5A">
      <w:pPr>
        <w:jc w:val="both"/>
        <w:rPr>
          <w:rFonts w:eastAsia="Arial" w:cs="Arial"/>
          <w:szCs w:val="22"/>
        </w:rPr>
      </w:pPr>
    </w:p>
    <w:p w14:paraId="7A130D9C" w14:textId="5B535927" w:rsidR="007E2A5A" w:rsidRPr="00AF4675" w:rsidRDefault="007E2A5A" w:rsidP="007E2A5A">
      <w:pPr>
        <w:jc w:val="both"/>
        <w:rPr>
          <w:rFonts w:eastAsia="Arial" w:cs="Arial"/>
          <w:szCs w:val="22"/>
        </w:rPr>
      </w:pPr>
      <w:r w:rsidRPr="00AF4675">
        <w:rPr>
          <w:rFonts w:eastAsia="Arial" w:cs="Arial"/>
          <w:szCs w:val="22"/>
        </w:rPr>
        <w:t xml:space="preserve">Refer to Section 3 for </w:t>
      </w:r>
      <w:r>
        <w:rPr>
          <w:rFonts w:eastAsia="Arial" w:cs="Arial"/>
          <w:szCs w:val="22"/>
        </w:rPr>
        <w:t xml:space="preserve">the Transport for Brisbane </w:t>
      </w:r>
      <w:r w:rsidR="000C6378">
        <w:rPr>
          <w:rFonts w:eastAsia="Arial" w:cs="Arial"/>
          <w:szCs w:val="22"/>
        </w:rPr>
        <w:t xml:space="preserve">commercial </w:t>
      </w:r>
      <w:r>
        <w:rPr>
          <w:rFonts w:eastAsia="Arial" w:cs="Arial"/>
          <w:szCs w:val="22"/>
        </w:rPr>
        <w:t xml:space="preserve">business </w:t>
      </w:r>
      <w:r w:rsidR="005C624F">
        <w:rPr>
          <w:rFonts w:eastAsia="Arial" w:cs="Arial"/>
          <w:szCs w:val="22"/>
        </w:rPr>
        <w:t>performance</w:t>
      </w:r>
      <w:r>
        <w:rPr>
          <w:rFonts w:eastAsia="Arial" w:cs="Arial"/>
          <w:szCs w:val="22"/>
        </w:rPr>
        <w:t xml:space="preserve"> results</w:t>
      </w:r>
      <w:r w:rsidRPr="00AF4675">
        <w:rPr>
          <w:rFonts w:eastAsia="Arial" w:cs="Arial"/>
          <w:szCs w:val="22"/>
        </w:rPr>
        <w:t xml:space="preserve">. </w:t>
      </w:r>
    </w:p>
    <w:p w14:paraId="68FC31A1" w14:textId="77777777" w:rsidR="00386B12" w:rsidRDefault="00386B12" w:rsidP="007E2A5A"/>
    <w:p w14:paraId="2E08DC3C" w14:textId="2064803F" w:rsidR="00386B12" w:rsidRPr="00110C6F" w:rsidRDefault="00386B12" w:rsidP="0057257F">
      <w:pPr>
        <w:pStyle w:val="Heading4black"/>
      </w:pPr>
      <w:r w:rsidRPr="00110C6F">
        <w:t>City Projects Office</w:t>
      </w:r>
    </w:p>
    <w:p w14:paraId="24F5AF1C" w14:textId="372840C2" w:rsidR="00386B12" w:rsidRPr="00110C6F" w:rsidRDefault="00386B12" w:rsidP="00386B12">
      <w:pPr>
        <w:rPr>
          <w:rFonts w:cs="Arial"/>
          <w:b/>
          <w:bCs/>
          <w:color w:val="0070C0"/>
          <w:szCs w:val="22"/>
        </w:rPr>
      </w:pPr>
    </w:p>
    <w:p w14:paraId="004B7954" w14:textId="1051CFC5" w:rsidR="00386B12" w:rsidRDefault="004D36CF" w:rsidP="00866657">
      <w:pPr>
        <w:jc w:val="center"/>
      </w:pPr>
      <w:r>
        <w:rPr>
          <w:noProof/>
        </w:rPr>
        <w:drawing>
          <wp:inline distT="0" distB="0" distL="0" distR="0" wp14:anchorId="2D9C6E24" wp14:editId="3E936140">
            <wp:extent cx="6116320" cy="1703705"/>
            <wp:effectExtent l="0" t="0" r="0" b="0"/>
            <wp:docPr id="25" name="Picture 1" descr="This graph shows City Projects Office revenue, operating expenses and capital expenditure for the period ended September 2022, against the approved annual budget.&#10;&#10;Revenue&#10;$33.8 thousand (actual)&#10;$0.6 million (approved annual budget)&#10;&#10;Operating expenses&#10;Less than $6.0 thousand (actual)&#10;$1.5 million (approved annual budget)&#10;&#10;Capital expenditure&#10;$50.4 thousand (actual)&#10;$0.1 million (approved annual budget)&#10;">
              <a:extLst xmlns:a="http://schemas.openxmlformats.org/drawingml/2006/main">
                <a:ext uri="{FF2B5EF4-FFF2-40B4-BE49-F238E27FC236}">
                  <a16:creationId xmlns:a16="http://schemas.microsoft.com/office/drawing/2014/main" id="{4DF40A61-8CFB-4DB9-BC1C-D8F0F30CF8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This graph shows City Projects Office revenue, operating expenses and capital expenditure for the period ended September 2022, against the approved annual budget.&#10;&#10;Revenue&#10;$33.8 thousand (actual)&#10;$0.6 million (approved annual budget)&#10;&#10;Operating expenses&#10;Less than $6.0 thousand (actual)&#10;$1.5 million (approved annual budget)&#10;&#10;Capital expenditure&#10;$50.4 thousand (actual)&#10;$0.1 million (approved annual budget)&#10;">
                      <a:extLst>
                        <a:ext uri="{FF2B5EF4-FFF2-40B4-BE49-F238E27FC236}">
                          <a16:creationId xmlns:a16="http://schemas.microsoft.com/office/drawing/2014/main" id="{4DF40A61-8CFB-4DB9-BC1C-D8F0F30CF86E}"/>
                        </a:ext>
                      </a:extLst>
                    </pic:cNvPr>
                    <pic:cNvPicPr>
                      <a:picLocks noChangeAspect="1"/>
                    </pic:cNvPicPr>
                  </pic:nvPicPr>
                  <pic:blipFill>
                    <a:blip r:embed="rId49"/>
                    <a:stretch>
                      <a:fillRect/>
                    </a:stretch>
                  </pic:blipFill>
                  <pic:spPr>
                    <a:xfrm>
                      <a:off x="0" y="0"/>
                      <a:ext cx="6116320" cy="1703705"/>
                    </a:xfrm>
                    <a:prstGeom prst="rect">
                      <a:avLst/>
                    </a:prstGeom>
                  </pic:spPr>
                </pic:pic>
              </a:graphicData>
            </a:graphic>
          </wp:inline>
        </w:drawing>
      </w:r>
    </w:p>
    <w:p w14:paraId="02245E93" w14:textId="0C9C4F11" w:rsidR="00110C6F" w:rsidRDefault="00110C6F" w:rsidP="004E4B0F">
      <w:pPr>
        <w:jc w:val="both"/>
        <w:rPr>
          <w:rFonts w:eastAsia="Arial" w:cs="Arial"/>
          <w:szCs w:val="22"/>
        </w:rPr>
      </w:pPr>
    </w:p>
    <w:p w14:paraId="53D5A941" w14:textId="77777777" w:rsidR="0039355A" w:rsidRPr="0039355A" w:rsidRDefault="0039355A" w:rsidP="00431A91">
      <w:pPr>
        <w:jc w:val="both"/>
        <w:rPr>
          <w:rFonts w:eastAsia="Arial" w:cs="Arial"/>
          <w:szCs w:val="22"/>
        </w:rPr>
      </w:pPr>
      <w:r w:rsidRPr="0039355A">
        <w:rPr>
          <w:rFonts w:eastAsia="Arial" w:cs="Arial"/>
          <w:szCs w:val="22"/>
        </w:rPr>
        <w:t>Revenue is above budget for the period due to higher demand for City Projects Office external works.</w:t>
      </w:r>
    </w:p>
    <w:p w14:paraId="46CB060B" w14:textId="77777777" w:rsidR="0039355A" w:rsidRPr="0039355A" w:rsidRDefault="0039355A" w:rsidP="00431A91">
      <w:pPr>
        <w:jc w:val="both"/>
        <w:rPr>
          <w:rFonts w:eastAsia="Arial" w:cs="Arial"/>
          <w:szCs w:val="22"/>
        </w:rPr>
      </w:pPr>
    </w:p>
    <w:p w14:paraId="75B3AF41" w14:textId="77777777" w:rsidR="0039355A" w:rsidRPr="0039355A" w:rsidRDefault="0039355A" w:rsidP="00431A91">
      <w:pPr>
        <w:jc w:val="both"/>
        <w:rPr>
          <w:rFonts w:eastAsia="Arial" w:cs="Arial"/>
          <w:szCs w:val="22"/>
        </w:rPr>
      </w:pPr>
      <w:r w:rsidRPr="0039355A">
        <w:rPr>
          <w:rFonts w:eastAsia="Arial" w:cs="Arial"/>
          <w:szCs w:val="22"/>
        </w:rPr>
        <w:t>Operating expenses are below budget for the period mainly due to rephased expenditure in the Digital Data Management Solution and the City Projects Office Tools of Trade projects.</w:t>
      </w:r>
    </w:p>
    <w:p w14:paraId="095759F6" w14:textId="77777777" w:rsidR="0039355A" w:rsidRPr="0039355A" w:rsidRDefault="0039355A" w:rsidP="00431A91">
      <w:pPr>
        <w:jc w:val="both"/>
        <w:rPr>
          <w:rFonts w:eastAsia="Arial" w:cs="Arial"/>
          <w:szCs w:val="22"/>
        </w:rPr>
      </w:pPr>
    </w:p>
    <w:p w14:paraId="7722E3E4" w14:textId="24ECBA50" w:rsidR="0039355A" w:rsidRDefault="0039355A" w:rsidP="00431A91">
      <w:pPr>
        <w:jc w:val="both"/>
        <w:rPr>
          <w:rFonts w:eastAsia="Arial" w:cs="Arial"/>
          <w:szCs w:val="22"/>
        </w:rPr>
      </w:pPr>
      <w:r w:rsidRPr="0039355A">
        <w:rPr>
          <w:rFonts w:eastAsia="Arial" w:cs="Arial"/>
          <w:szCs w:val="22"/>
        </w:rPr>
        <w:t>Capital expenditure is above budget for the period due to rephased expenditure in the City Projects Office Tools of Trade project.</w:t>
      </w:r>
    </w:p>
    <w:p w14:paraId="28B4538C" w14:textId="77777777" w:rsidR="0039355A" w:rsidRPr="0039355A" w:rsidRDefault="0039355A" w:rsidP="00431A91">
      <w:pPr>
        <w:jc w:val="both"/>
        <w:rPr>
          <w:rFonts w:eastAsia="Arial" w:cs="Arial"/>
          <w:szCs w:val="22"/>
        </w:rPr>
      </w:pPr>
    </w:p>
    <w:p w14:paraId="24491BFD" w14:textId="28F5FC73" w:rsidR="00D2219D" w:rsidRDefault="0039355A" w:rsidP="00431A91">
      <w:pPr>
        <w:jc w:val="both"/>
        <w:rPr>
          <w:rFonts w:eastAsia="Arial" w:cs="Arial"/>
          <w:szCs w:val="22"/>
        </w:rPr>
      </w:pPr>
      <w:r w:rsidRPr="0039355A">
        <w:rPr>
          <w:rFonts w:eastAsia="Arial" w:cs="Arial"/>
          <w:szCs w:val="22"/>
        </w:rPr>
        <w:t>Revenue, operating expenses and capital expenditure are expected to materially align with the annual budget at the end of the financial year.</w:t>
      </w:r>
    </w:p>
    <w:p w14:paraId="7FE29267" w14:textId="32177653" w:rsidR="0039355A" w:rsidRDefault="0039355A" w:rsidP="0039355A">
      <w:pPr>
        <w:rPr>
          <w:rFonts w:eastAsia="Arial" w:cs="Arial"/>
          <w:szCs w:val="22"/>
        </w:rPr>
      </w:pPr>
    </w:p>
    <w:p w14:paraId="49232033" w14:textId="63971A65" w:rsidR="0039355A" w:rsidRDefault="0039355A" w:rsidP="0039355A">
      <w:pPr>
        <w:rPr>
          <w:rFonts w:eastAsia="Arial" w:cs="Arial"/>
          <w:szCs w:val="22"/>
        </w:rPr>
      </w:pPr>
    </w:p>
    <w:p w14:paraId="36DC74AD" w14:textId="4274DE79" w:rsidR="0039355A" w:rsidRDefault="0039355A" w:rsidP="0039355A">
      <w:pPr>
        <w:rPr>
          <w:rFonts w:eastAsia="Arial" w:cs="Arial"/>
          <w:szCs w:val="22"/>
        </w:rPr>
      </w:pPr>
    </w:p>
    <w:p w14:paraId="1887A8B1" w14:textId="275F54E3" w:rsidR="0039355A" w:rsidRDefault="0039355A" w:rsidP="0039355A">
      <w:pPr>
        <w:rPr>
          <w:rFonts w:eastAsia="Arial" w:cs="Arial"/>
          <w:szCs w:val="22"/>
        </w:rPr>
      </w:pPr>
    </w:p>
    <w:p w14:paraId="0F483FFD" w14:textId="61CB973D" w:rsidR="0039355A" w:rsidRDefault="0039355A" w:rsidP="0039355A">
      <w:pPr>
        <w:rPr>
          <w:rFonts w:eastAsia="Arial" w:cs="Arial"/>
          <w:szCs w:val="22"/>
        </w:rPr>
      </w:pPr>
    </w:p>
    <w:p w14:paraId="5A75E031" w14:textId="77269A41" w:rsidR="0039355A" w:rsidRDefault="0039355A" w:rsidP="0039355A">
      <w:pPr>
        <w:rPr>
          <w:rFonts w:eastAsia="Arial" w:cs="Arial"/>
          <w:szCs w:val="22"/>
        </w:rPr>
      </w:pPr>
    </w:p>
    <w:p w14:paraId="1EF8A361" w14:textId="43A08C24" w:rsidR="0039355A" w:rsidRDefault="0039355A" w:rsidP="0039355A">
      <w:pPr>
        <w:rPr>
          <w:rFonts w:eastAsia="Arial" w:cs="Arial"/>
          <w:szCs w:val="22"/>
        </w:rPr>
      </w:pPr>
    </w:p>
    <w:p w14:paraId="012D1AFF" w14:textId="3A715AEA" w:rsidR="0039355A" w:rsidRDefault="0039355A" w:rsidP="0039355A">
      <w:pPr>
        <w:rPr>
          <w:rFonts w:eastAsia="Arial" w:cs="Arial"/>
          <w:szCs w:val="22"/>
        </w:rPr>
      </w:pPr>
    </w:p>
    <w:p w14:paraId="29B99847" w14:textId="5013B5DB" w:rsidR="0039355A" w:rsidRDefault="0039355A" w:rsidP="0039355A">
      <w:pPr>
        <w:rPr>
          <w:rFonts w:eastAsia="Arial" w:cs="Arial"/>
          <w:szCs w:val="22"/>
        </w:rPr>
      </w:pPr>
    </w:p>
    <w:p w14:paraId="1F347923" w14:textId="3B1800BE" w:rsidR="0039355A" w:rsidRDefault="0039355A" w:rsidP="0039355A">
      <w:pPr>
        <w:rPr>
          <w:rFonts w:eastAsia="Arial" w:cs="Arial"/>
          <w:szCs w:val="22"/>
        </w:rPr>
      </w:pPr>
    </w:p>
    <w:p w14:paraId="22E14860" w14:textId="2BCFD3E4" w:rsidR="0039355A" w:rsidRDefault="0039355A" w:rsidP="0039355A">
      <w:pPr>
        <w:rPr>
          <w:rFonts w:eastAsia="Arial" w:cs="Arial"/>
          <w:szCs w:val="22"/>
        </w:rPr>
      </w:pPr>
    </w:p>
    <w:p w14:paraId="5F00AC0B" w14:textId="77777777" w:rsidR="00DE0C98" w:rsidRDefault="00DE0C98" w:rsidP="0039355A">
      <w:pPr>
        <w:rPr>
          <w:rFonts w:eastAsia="Arial" w:cs="Arial"/>
          <w:szCs w:val="22"/>
        </w:rPr>
      </w:pPr>
    </w:p>
    <w:p w14:paraId="684CDCB3" w14:textId="77777777" w:rsidR="0039355A" w:rsidRDefault="0039355A" w:rsidP="0039355A">
      <w:pPr>
        <w:rPr>
          <w:rFonts w:cs="Arial"/>
          <w:b/>
          <w:bCs/>
          <w:color w:val="0067B1"/>
          <w:sz w:val="24"/>
          <w:lang w:val="en-AU"/>
        </w:rPr>
      </w:pPr>
    </w:p>
    <w:p w14:paraId="6B7C8E3A" w14:textId="13865A76" w:rsidR="00386B12" w:rsidRPr="00110C6F" w:rsidRDefault="00386B12" w:rsidP="0057257F">
      <w:pPr>
        <w:pStyle w:val="Heading4black"/>
      </w:pPr>
      <w:r w:rsidRPr="00110C6F">
        <w:t>City Standards</w:t>
      </w:r>
    </w:p>
    <w:p w14:paraId="56A50483" w14:textId="5F68FB5B" w:rsidR="00110C6F" w:rsidRDefault="00110C6F" w:rsidP="00386B12">
      <w:pPr>
        <w:rPr>
          <w:rFonts w:cs="Arial"/>
          <w:b/>
          <w:bCs/>
          <w:color w:val="0070C0"/>
          <w:szCs w:val="22"/>
        </w:rPr>
      </w:pPr>
    </w:p>
    <w:p w14:paraId="710C11C9" w14:textId="147B47BE" w:rsidR="00386B12" w:rsidRDefault="004D36CF" w:rsidP="00386B12">
      <w:pPr>
        <w:jc w:val="center"/>
      </w:pPr>
      <w:r>
        <w:rPr>
          <w:noProof/>
        </w:rPr>
        <w:drawing>
          <wp:inline distT="0" distB="0" distL="0" distR="0" wp14:anchorId="3B5AEE85" wp14:editId="06A338BC">
            <wp:extent cx="6116320" cy="1720850"/>
            <wp:effectExtent l="0" t="0" r="0" b="0"/>
            <wp:docPr id="26" name="Picture 11" descr="This graph shows City Standards revenue, operating expenses and capital expenditure for the period ended September 2022, against the approved annual budget.&#10;&#10;Revenue&#10;$11.9 million (actual)&#10;$33.1 million (approved annual budget)&#10;&#10;Operating expenses&#10;$10.4 million (actual)&#10;$31.5 million (approved annual budget)&#10;&#10;Capital expenditure&#10;$507.9 thousand (actual)&#10;$9.3 million (approved annual budget)&#10;">
              <a:extLst xmlns:a="http://schemas.openxmlformats.org/drawingml/2006/main">
                <a:ext uri="{FF2B5EF4-FFF2-40B4-BE49-F238E27FC236}">
                  <a16:creationId xmlns:a16="http://schemas.microsoft.com/office/drawing/2014/main" id="{0405B76F-0267-4FA8-B847-3A1465CBDD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1" descr="This graph shows City Standards revenue, operating expenses and capital expenditure for the period ended September 2022, against the approved annual budget.&#10;&#10;Revenue&#10;$11.9 million (actual)&#10;$33.1 million (approved annual budget)&#10;&#10;Operating expenses&#10;$10.4 million (actual)&#10;$31.5 million (approved annual budget)&#10;&#10;Capital expenditure&#10;$507.9 thousand (actual)&#10;$9.3 million (approved annual budget)&#10;">
                      <a:extLst>
                        <a:ext uri="{FF2B5EF4-FFF2-40B4-BE49-F238E27FC236}">
                          <a16:creationId xmlns:a16="http://schemas.microsoft.com/office/drawing/2014/main" id="{0405B76F-0267-4FA8-B847-3A1465CBDDBC}"/>
                        </a:ext>
                      </a:extLst>
                    </pic:cNvPr>
                    <pic:cNvPicPr>
                      <a:picLocks noChangeAspect="1"/>
                    </pic:cNvPicPr>
                  </pic:nvPicPr>
                  <pic:blipFill>
                    <a:blip r:embed="rId50"/>
                    <a:stretch>
                      <a:fillRect/>
                    </a:stretch>
                  </pic:blipFill>
                  <pic:spPr>
                    <a:xfrm>
                      <a:off x="0" y="0"/>
                      <a:ext cx="6116320" cy="1720850"/>
                    </a:xfrm>
                    <a:prstGeom prst="rect">
                      <a:avLst/>
                    </a:prstGeom>
                  </pic:spPr>
                </pic:pic>
              </a:graphicData>
            </a:graphic>
          </wp:inline>
        </w:drawing>
      </w:r>
    </w:p>
    <w:p w14:paraId="200EFC5E" w14:textId="39D483FE" w:rsidR="00110C6F" w:rsidRDefault="00110C6F" w:rsidP="004E4B0F">
      <w:pPr>
        <w:jc w:val="both"/>
        <w:rPr>
          <w:rFonts w:cs="Arial"/>
        </w:rPr>
      </w:pPr>
    </w:p>
    <w:p w14:paraId="2999DF78" w14:textId="77777777" w:rsidR="00510316" w:rsidRPr="00510316" w:rsidRDefault="00510316" w:rsidP="00431A91">
      <w:pPr>
        <w:jc w:val="both"/>
        <w:rPr>
          <w:rFonts w:cs="Arial"/>
        </w:rPr>
      </w:pPr>
      <w:r w:rsidRPr="00510316">
        <w:rPr>
          <w:rFonts w:cs="Arial"/>
        </w:rPr>
        <w:t>Revenue is above budget during the period mainly due to higher than anticipated external demand for asphalt and quarry sales.</w:t>
      </w:r>
    </w:p>
    <w:p w14:paraId="0F1EC63A" w14:textId="77777777" w:rsidR="00510316" w:rsidRPr="00510316" w:rsidRDefault="00510316" w:rsidP="00431A91">
      <w:pPr>
        <w:jc w:val="both"/>
        <w:rPr>
          <w:rFonts w:cs="Arial"/>
        </w:rPr>
      </w:pPr>
    </w:p>
    <w:p w14:paraId="2AA76B6D" w14:textId="77777777" w:rsidR="00510316" w:rsidRPr="00510316" w:rsidRDefault="00510316" w:rsidP="00431A91">
      <w:pPr>
        <w:jc w:val="both"/>
        <w:rPr>
          <w:rFonts w:cs="Arial"/>
        </w:rPr>
      </w:pPr>
      <w:r w:rsidRPr="00510316">
        <w:rPr>
          <w:rFonts w:cs="Arial"/>
        </w:rPr>
        <w:t>Operating expenses are above budget during the period mainly due to increased production needed to meet higher than anticipated external demand for asphalt and quarry sales.</w:t>
      </w:r>
    </w:p>
    <w:p w14:paraId="73D0EB98" w14:textId="77777777" w:rsidR="00510316" w:rsidRPr="00510316" w:rsidRDefault="00510316" w:rsidP="00431A91">
      <w:pPr>
        <w:jc w:val="both"/>
        <w:rPr>
          <w:rFonts w:cs="Arial"/>
        </w:rPr>
      </w:pPr>
    </w:p>
    <w:p w14:paraId="30EB0C7F" w14:textId="77777777" w:rsidR="00510316" w:rsidRPr="00510316" w:rsidRDefault="00510316" w:rsidP="00431A91">
      <w:pPr>
        <w:jc w:val="both"/>
        <w:rPr>
          <w:rFonts w:cs="Arial"/>
        </w:rPr>
      </w:pPr>
      <w:r w:rsidRPr="00510316">
        <w:rPr>
          <w:rFonts w:cs="Arial"/>
        </w:rPr>
        <w:t>Revenue and operating expenses are expected to be adjusted in the next budget review.</w:t>
      </w:r>
    </w:p>
    <w:p w14:paraId="444B3BBA" w14:textId="77777777" w:rsidR="00510316" w:rsidRPr="00510316" w:rsidRDefault="00510316" w:rsidP="00431A91">
      <w:pPr>
        <w:jc w:val="both"/>
        <w:rPr>
          <w:rFonts w:cs="Arial"/>
        </w:rPr>
      </w:pPr>
    </w:p>
    <w:p w14:paraId="6B1BD09A" w14:textId="153F3560" w:rsidR="00386B12" w:rsidRDefault="00510316" w:rsidP="00431A91">
      <w:pPr>
        <w:jc w:val="both"/>
        <w:rPr>
          <w:rFonts w:eastAsia="Arial" w:cs="Arial"/>
          <w:sz w:val="20"/>
          <w:szCs w:val="20"/>
        </w:rPr>
      </w:pPr>
      <w:r w:rsidRPr="00510316">
        <w:rPr>
          <w:rFonts w:cs="Arial"/>
        </w:rPr>
        <w:t>Capital expenditure for the period is on track against budget.</w:t>
      </w:r>
    </w:p>
    <w:p w14:paraId="49CED56F" w14:textId="77777777" w:rsidR="00BD7EB2" w:rsidRDefault="00BD7EB2" w:rsidP="00386B12">
      <w:pPr>
        <w:rPr>
          <w:rFonts w:cs="Arial"/>
          <w:b/>
          <w:bCs/>
          <w:color w:val="0070C0"/>
          <w:sz w:val="20"/>
          <w:szCs w:val="20"/>
        </w:rPr>
        <w:sectPr w:rsidR="00BD7EB2" w:rsidSect="0013507F">
          <w:footerReference w:type="default" r:id="rId51"/>
          <w:pgSz w:w="11900" w:h="16840"/>
          <w:pgMar w:top="1440" w:right="1134" w:bottom="1440" w:left="1134" w:header="709" w:footer="709" w:gutter="0"/>
          <w:cols w:space="708"/>
          <w:docGrid w:linePitch="360"/>
        </w:sectPr>
      </w:pPr>
    </w:p>
    <w:p w14:paraId="0B7414F6" w14:textId="77777777" w:rsidR="00BE4A88" w:rsidRDefault="00BE4A88" w:rsidP="00BE4A88">
      <w:pPr>
        <w:rPr>
          <w:rFonts w:cs="Arial"/>
          <w:b/>
          <w:bCs/>
          <w:sz w:val="20"/>
          <w:szCs w:val="20"/>
        </w:rPr>
      </w:pPr>
      <w:bookmarkStart w:id="34" w:name="_Toc111126253"/>
    </w:p>
    <w:p w14:paraId="7F54D8F6" w14:textId="77777777" w:rsidR="00BE4A88" w:rsidRDefault="00BE4A88" w:rsidP="00BE4A88">
      <w:pPr>
        <w:jc w:val="center"/>
        <w:rPr>
          <w:rFonts w:cs="Arial"/>
          <w:b/>
          <w:bCs/>
          <w:sz w:val="40"/>
          <w:szCs w:val="40"/>
        </w:rPr>
      </w:pPr>
    </w:p>
    <w:p w14:paraId="75144D06" w14:textId="77777777" w:rsidR="00BE4A88" w:rsidRDefault="00BE4A88" w:rsidP="00BE4A88">
      <w:pPr>
        <w:jc w:val="center"/>
        <w:rPr>
          <w:rFonts w:cs="Arial"/>
          <w:b/>
          <w:bCs/>
          <w:sz w:val="40"/>
          <w:szCs w:val="40"/>
        </w:rPr>
      </w:pPr>
    </w:p>
    <w:p w14:paraId="26DBE288" w14:textId="77777777" w:rsidR="00BE4A88" w:rsidRDefault="00BE4A88" w:rsidP="00BE4A88">
      <w:pPr>
        <w:jc w:val="center"/>
        <w:rPr>
          <w:rFonts w:cs="Arial"/>
          <w:b/>
          <w:bCs/>
          <w:sz w:val="40"/>
          <w:szCs w:val="40"/>
        </w:rPr>
      </w:pPr>
    </w:p>
    <w:p w14:paraId="5C8E3EEA" w14:textId="77777777" w:rsidR="00BE4A88" w:rsidRDefault="00BE4A88" w:rsidP="00BE4A88">
      <w:pPr>
        <w:jc w:val="center"/>
        <w:rPr>
          <w:rFonts w:cs="Arial"/>
          <w:b/>
          <w:bCs/>
          <w:sz w:val="40"/>
          <w:szCs w:val="40"/>
        </w:rPr>
      </w:pPr>
    </w:p>
    <w:p w14:paraId="58108A19" w14:textId="77777777" w:rsidR="00BE4A88" w:rsidRDefault="00BE4A88" w:rsidP="00BE4A88">
      <w:pPr>
        <w:jc w:val="center"/>
        <w:rPr>
          <w:rFonts w:cs="Arial"/>
          <w:b/>
          <w:bCs/>
          <w:sz w:val="40"/>
          <w:szCs w:val="40"/>
        </w:rPr>
      </w:pPr>
    </w:p>
    <w:p w14:paraId="0D8EBAED" w14:textId="206510FB" w:rsidR="00BE4A88" w:rsidRDefault="00BE4A88" w:rsidP="00BE4A88">
      <w:pPr>
        <w:jc w:val="center"/>
        <w:rPr>
          <w:rFonts w:cs="Arial"/>
          <w:b/>
          <w:bCs/>
          <w:sz w:val="40"/>
          <w:szCs w:val="40"/>
        </w:rPr>
      </w:pPr>
    </w:p>
    <w:p w14:paraId="60492514" w14:textId="77777777" w:rsidR="00875C34" w:rsidRDefault="00875C34" w:rsidP="00BE4A88">
      <w:pPr>
        <w:jc w:val="center"/>
        <w:rPr>
          <w:rFonts w:cs="Arial"/>
          <w:b/>
          <w:bCs/>
          <w:sz w:val="40"/>
          <w:szCs w:val="40"/>
        </w:rPr>
      </w:pPr>
    </w:p>
    <w:p w14:paraId="7BD6D63B" w14:textId="0F3C6E27" w:rsidR="00386B12" w:rsidRPr="00CC2DA7" w:rsidRDefault="00386B12" w:rsidP="0057257F">
      <w:pPr>
        <w:pStyle w:val="Heading2"/>
      </w:pPr>
      <w:bookmarkStart w:id="35" w:name="_Toc127436763"/>
      <w:r w:rsidRPr="00CC2DA7">
        <w:t>S</w:t>
      </w:r>
      <w:r w:rsidR="00CC2DA7" w:rsidRPr="00CC2DA7">
        <w:t>ection</w:t>
      </w:r>
      <w:r w:rsidRPr="00CC2DA7">
        <w:t xml:space="preserve"> 3</w:t>
      </w:r>
      <w:r w:rsidR="003E7275" w:rsidRPr="00CC2DA7">
        <w:t xml:space="preserve"> – C</w:t>
      </w:r>
      <w:r w:rsidR="00CC2DA7" w:rsidRPr="00CC2DA7">
        <w:t>ommercialised</w:t>
      </w:r>
      <w:r w:rsidR="00E43BA9" w:rsidRPr="00CC2DA7">
        <w:t xml:space="preserve"> </w:t>
      </w:r>
      <w:r w:rsidRPr="00CC2DA7">
        <w:t>B</w:t>
      </w:r>
      <w:bookmarkEnd w:id="34"/>
      <w:r w:rsidR="00CC2DA7" w:rsidRPr="00CC2DA7">
        <w:t>usinesses</w:t>
      </w:r>
      <w:bookmarkEnd w:id="35"/>
    </w:p>
    <w:p w14:paraId="041E38DC" w14:textId="3C6EE4DB" w:rsidR="00516011" w:rsidRDefault="00516011" w:rsidP="00386B12">
      <w:pPr>
        <w:rPr>
          <w:rFonts w:cs="Arial"/>
          <w:b/>
          <w:bCs/>
          <w:sz w:val="40"/>
          <w:szCs w:val="40"/>
        </w:rPr>
        <w:sectPr w:rsidR="00516011" w:rsidSect="0013507F">
          <w:footerReference w:type="default" r:id="rId52"/>
          <w:pgSz w:w="11900" w:h="16840"/>
          <w:pgMar w:top="1440" w:right="1134" w:bottom="1440" w:left="1134" w:header="709" w:footer="709" w:gutter="0"/>
          <w:cols w:space="708"/>
          <w:docGrid w:linePitch="360"/>
        </w:sectPr>
      </w:pPr>
    </w:p>
    <w:p w14:paraId="2F79D91B" w14:textId="218922EF" w:rsidR="00386B12" w:rsidRPr="00AD0004" w:rsidRDefault="00BE0D7E" w:rsidP="0057257F">
      <w:pPr>
        <w:pStyle w:val="Heading3"/>
      </w:pPr>
      <w:bookmarkStart w:id="36" w:name="_Toc111126254"/>
      <w:bookmarkStart w:id="37" w:name="_Toc127436764"/>
      <w:r w:rsidRPr="00110C6F">
        <w:lastRenderedPageBreak/>
        <w:t>Transport for Brisbane</w:t>
      </w:r>
      <w:bookmarkEnd w:id="36"/>
      <w:bookmarkEnd w:id="37"/>
    </w:p>
    <w:p w14:paraId="6B9D6521" w14:textId="237B0758" w:rsidR="00BE0D7E" w:rsidRDefault="00BE0D7E" w:rsidP="00386B12">
      <w:pPr>
        <w:rPr>
          <w:noProof/>
        </w:rPr>
      </w:pPr>
    </w:p>
    <w:p w14:paraId="368FFF58" w14:textId="4D14B999" w:rsidR="007E2A5A" w:rsidRPr="00110C6F" w:rsidRDefault="007E2A5A" w:rsidP="003D293A">
      <w:pPr>
        <w:pStyle w:val="Heading4black"/>
      </w:pPr>
      <w:r w:rsidRPr="00110C6F">
        <w:t>Objective</w:t>
      </w:r>
    </w:p>
    <w:p w14:paraId="2F2107F6" w14:textId="77777777" w:rsidR="00110C6F" w:rsidRPr="00AF4675" w:rsidRDefault="00110C6F" w:rsidP="003D293A"/>
    <w:p w14:paraId="708AB83F" w14:textId="78B4672D" w:rsidR="00386B12" w:rsidRDefault="00E50AB8" w:rsidP="003D293A">
      <w:pPr>
        <w:rPr>
          <w:noProof/>
        </w:rPr>
      </w:pPr>
      <w:r w:rsidRPr="00E50AB8">
        <w:rPr>
          <w:noProof/>
        </w:rPr>
        <w:t>The objective of Transport for Brisbane is to provide frequent, reliable and safe services, more often, and at the most comfortable standard possible for our passengers.</w:t>
      </w:r>
    </w:p>
    <w:p w14:paraId="3BE710C0" w14:textId="77777777" w:rsidR="00E50AB8" w:rsidRPr="00110C6F" w:rsidRDefault="00E50AB8" w:rsidP="003D293A"/>
    <w:p w14:paraId="72BAD660" w14:textId="213B38FE" w:rsidR="007E2A5A" w:rsidRDefault="007E2A5A" w:rsidP="003D293A">
      <w:pPr>
        <w:pStyle w:val="Heading4black"/>
      </w:pPr>
      <w:r w:rsidRPr="00110C6F">
        <w:t xml:space="preserve">Performance </w:t>
      </w:r>
      <w:r w:rsidR="0075625A" w:rsidRPr="00110C6F">
        <w:t>measures</w:t>
      </w:r>
      <w:r w:rsidR="00BC3803" w:rsidRPr="00110C6F">
        <w:t xml:space="preserve"> and targets</w:t>
      </w:r>
    </w:p>
    <w:p w14:paraId="78062CD4" w14:textId="77777777" w:rsidR="00110C6F" w:rsidRPr="00110C6F" w:rsidRDefault="00110C6F" w:rsidP="00110C6F">
      <w:pPr>
        <w:pStyle w:val="NormalCouncilblue"/>
        <w:spacing w:after="0" w:line="240" w:lineRule="auto"/>
        <w:rPr>
          <w:b/>
          <w:bCs/>
        </w:rPr>
      </w:pPr>
    </w:p>
    <w:tbl>
      <w:tblPr>
        <w:tblStyle w:val="ListTable3-Accent1"/>
        <w:tblW w:w="9634" w:type="dxa"/>
        <w:tblBorders>
          <w:insideH w:val="single" w:sz="4" w:space="0" w:color="4472C4" w:themeColor="accent1"/>
        </w:tblBorders>
        <w:tblLook w:val="04A0" w:firstRow="1" w:lastRow="0" w:firstColumn="1" w:lastColumn="0" w:noHBand="0" w:noVBand="1"/>
      </w:tblPr>
      <w:tblGrid>
        <w:gridCol w:w="7933"/>
        <w:gridCol w:w="1701"/>
      </w:tblGrid>
      <w:tr w:rsidR="00ED3210" w:rsidRPr="00ED3210" w14:paraId="256F9680" w14:textId="77777777" w:rsidTr="005E79A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7933" w:type="dxa"/>
            <w:tcBorders>
              <w:bottom w:val="none" w:sz="0" w:space="0" w:color="auto"/>
              <w:right w:val="none" w:sz="0" w:space="0" w:color="auto"/>
            </w:tcBorders>
            <w:shd w:val="clear" w:color="auto" w:fill="0067B1"/>
          </w:tcPr>
          <w:p w14:paraId="4F58B48F" w14:textId="77777777" w:rsidR="00ED3210" w:rsidRPr="00ED3210" w:rsidRDefault="00ED3210" w:rsidP="00386B12">
            <w:pPr>
              <w:rPr>
                <w:rFonts w:cs="Arial"/>
                <w:b w:val="0"/>
                <w:color w:val="0070C0"/>
              </w:rPr>
            </w:pPr>
          </w:p>
        </w:tc>
        <w:tc>
          <w:tcPr>
            <w:tcW w:w="1701" w:type="dxa"/>
            <w:shd w:val="clear" w:color="auto" w:fill="0067B1"/>
          </w:tcPr>
          <w:p w14:paraId="1913BE13" w14:textId="647BF6A5" w:rsidR="00ED3210" w:rsidRPr="00ED3210" w:rsidRDefault="00ED3210" w:rsidP="00ED3210">
            <w:pPr>
              <w:jc w:val="center"/>
              <w:cnfStyle w:val="100000000000" w:firstRow="1" w:lastRow="0" w:firstColumn="0" w:lastColumn="0" w:oddVBand="0" w:evenVBand="0" w:oddHBand="0" w:evenHBand="0" w:firstRowFirstColumn="0" w:firstRowLastColumn="0" w:lastRowFirstColumn="0" w:lastRowLastColumn="0"/>
              <w:rPr>
                <w:rFonts w:cs="Arial"/>
                <w:bCs w:val="0"/>
                <w:color w:val="auto"/>
              </w:rPr>
            </w:pPr>
            <w:r w:rsidRPr="007B0EF1">
              <w:rPr>
                <w:rFonts w:cs="Arial"/>
                <w:bCs w:val="0"/>
              </w:rPr>
              <w:t>Actual</w:t>
            </w:r>
          </w:p>
        </w:tc>
      </w:tr>
      <w:tr w:rsidR="00ED3210" w:rsidRPr="00ED3210" w14:paraId="230F1AA6" w14:textId="77777777" w:rsidTr="005E79AD">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933" w:type="dxa"/>
            <w:tcBorders>
              <w:top w:val="none" w:sz="0" w:space="0" w:color="auto"/>
              <w:bottom w:val="none" w:sz="0" w:space="0" w:color="auto"/>
              <w:right w:val="none" w:sz="0" w:space="0" w:color="auto"/>
            </w:tcBorders>
          </w:tcPr>
          <w:p w14:paraId="44ED7DCC" w14:textId="519E1B75" w:rsidR="00ED3210" w:rsidRPr="00ED3210" w:rsidRDefault="00ED3210" w:rsidP="007B0EF1">
            <w:pPr>
              <w:rPr>
                <w:rFonts w:cs="Arial"/>
                <w:b w:val="0"/>
                <w:bCs w:val="0"/>
                <w:color w:val="0070C0"/>
              </w:rPr>
            </w:pPr>
            <w:r w:rsidRPr="00ED3210">
              <w:rPr>
                <w:b w:val="0"/>
                <w:bCs w:val="0"/>
                <w:noProof/>
                <w:lang w:val="en-GB"/>
              </w:rPr>
              <w:t>Bus patronage – number of passengers carried</w:t>
            </w:r>
          </w:p>
        </w:tc>
        <w:tc>
          <w:tcPr>
            <w:tcW w:w="1701" w:type="dxa"/>
            <w:tcBorders>
              <w:top w:val="none" w:sz="0" w:space="0" w:color="auto"/>
              <w:bottom w:val="none" w:sz="0" w:space="0" w:color="auto"/>
            </w:tcBorders>
          </w:tcPr>
          <w:p w14:paraId="65FFD805" w14:textId="259533E4" w:rsidR="00ED3210" w:rsidRPr="008E7D8A" w:rsidRDefault="00E50AB8" w:rsidP="005E79AD">
            <w:pPr>
              <w:ind w:left="35" w:right="-109" w:hanging="35"/>
              <w:jc w:val="center"/>
              <w:cnfStyle w:val="000000100000" w:firstRow="0" w:lastRow="0" w:firstColumn="0" w:lastColumn="0" w:oddVBand="0" w:evenVBand="0" w:oddHBand="1" w:evenHBand="0" w:firstRowFirstColumn="0" w:firstRowLastColumn="0" w:lastRowFirstColumn="0" w:lastRowLastColumn="0"/>
              <w:rPr>
                <w:rFonts w:cs="Arial"/>
                <w:bCs/>
                <w:highlight w:val="yellow"/>
              </w:rPr>
            </w:pPr>
            <w:r w:rsidRPr="00E50AB8">
              <w:rPr>
                <w:rFonts w:cs="Arial"/>
                <w:bCs/>
              </w:rPr>
              <w:t xml:space="preserve">14.6 </w:t>
            </w:r>
            <w:r w:rsidR="00ED3210" w:rsidRPr="00E50AB8">
              <w:rPr>
                <w:rFonts w:cs="Arial"/>
                <w:bCs/>
              </w:rPr>
              <w:t>million</w:t>
            </w:r>
          </w:p>
        </w:tc>
      </w:tr>
      <w:tr w:rsidR="00ED3210" w:rsidRPr="00ED3210" w14:paraId="44816C37" w14:textId="77777777" w:rsidTr="005E79AD">
        <w:trPr>
          <w:trHeight w:val="311"/>
        </w:trPr>
        <w:tc>
          <w:tcPr>
            <w:cnfStyle w:val="001000000000" w:firstRow="0" w:lastRow="0" w:firstColumn="1" w:lastColumn="0" w:oddVBand="0" w:evenVBand="0" w:oddHBand="0" w:evenHBand="0" w:firstRowFirstColumn="0" w:firstRowLastColumn="0" w:lastRowFirstColumn="0" w:lastRowLastColumn="0"/>
            <w:tcW w:w="7933" w:type="dxa"/>
            <w:tcBorders>
              <w:right w:val="none" w:sz="0" w:space="0" w:color="auto"/>
            </w:tcBorders>
          </w:tcPr>
          <w:p w14:paraId="157E1C30" w14:textId="7C4B0119" w:rsidR="00ED3210" w:rsidRPr="00ED3210" w:rsidRDefault="00ED3210" w:rsidP="007B0EF1">
            <w:pPr>
              <w:rPr>
                <w:rFonts w:cs="Arial"/>
                <w:b w:val="0"/>
                <w:bCs w:val="0"/>
                <w:color w:val="0070C0"/>
              </w:rPr>
            </w:pPr>
            <w:r w:rsidRPr="00ED3210">
              <w:rPr>
                <w:b w:val="0"/>
                <w:bCs w:val="0"/>
                <w:noProof/>
                <w:lang w:val="en-GB"/>
              </w:rPr>
              <w:t>Ferry patronage – number of passengers carried</w:t>
            </w:r>
          </w:p>
        </w:tc>
        <w:tc>
          <w:tcPr>
            <w:tcW w:w="1701" w:type="dxa"/>
          </w:tcPr>
          <w:p w14:paraId="220C14A9" w14:textId="223817A3" w:rsidR="00ED3210" w:rsidRPr="008E7D8A" w:rsidRDefault="00ED3210" w:rsidP="00ED3210">
            <w:pPr>
              <w:jc w:val="center"/>
              <w:cnfStyle w:val="000000000000" w:firstRow="0" w:lastRow="0" w:firstColumn="0" w:lastColumn="0" w:oddVBand="0" w:evenVBand="0" w:oddHBand="0" w:evenHBand="0" w:firstRowFirstColumn="0" w:firstRowLastColumn="0" w:lastRowFirstColumn="0" w:lastRowLastColumn="0"/>
              <w:rPr>
                <w:rFonts w:cs="Arial"/>
                <w:bCs/>
                <w:highlight w:val="yellow"/>
              </w:rPr>
            </w:pPr>
            <w:r w:rsidRPr="00E50AB8">
              <w:rPr>
                <w:rFonts w:cs="Arial"/>
                <w:bCs/>
              </w:rPr>
              <w:t xml:space="preserve"> </w:t>
            </w:r>
            <w:r w:rsidR="00E50AB8" w:rsidRPr="00E50AB8">
              <w:rPr>
                <w:rFonts w:cs="Arial"/>
                <w:bCs/>
              </w:rPr>
              <w:t xml:space="preserve">0.5 </w:t>
            </w:r>
            <w:r w:rsidRPr="00E50AB8">
              <w:rPr>
                <w:rFonts w:cs="Arial"/>
                <w:bCs/>
              </w:rPr>
              <w:t>million</w:t>
            </w:r>
          </w:p>
        </w:tc>
      </w:tr>
    </w:tbl>
    <w:p w14:paraId="77ED816C" w14:textId="75DBC037" w:rsidR="00ED3210" w:rsidRPr="00110C6F" w:rsidRDefault="00ED3210" w:rsidP="00386B12">
      <w:pPr>
        <w:rPr>
          <w:rFonts w:cs="Arial"/>
          <w:b/>
          <w:color w:val="0070C0"/>
          <w:szCs w:val="22"/>
        </w:rPr>
      </w:pPr>
    </w:p>
    <w:p w14:paraId="0A69E95B" w14:textId="134497EC" w:rsidR="00761A23" w:rsidRPr="00761A23" w:rsidRDefault="00761A23" w:rsidP="003D293A">
      <w:pPr>
        <w:rPr>
          <w:noProof/>
        </w:rPr>
      </w:pPr>
      <w:r w:rsidRPr="00761A23">
        <w:rPr>
          <w:noProof/>
        </w:rPr>
        <w:t>Council is on track in achieving the non-financial targets for the year:</w:t>
      </w:r>
    </w:p>
    <w:p w14:paraId="4984E3AB" w14:textId="6EC2D375" w:rsidR="00761A23" w:rsidRPr="00761A23" w:rsidRDefault="00761A23" w:rsidP="003D293A">
      <w:r w:rsidRPr="00761A23">
        <w:t>mean customer satisfaction with bus services of not less than 6.5</w:t>
      </w:r>
    </w:p>
    <w:p w14:paraId="43370F43" w14:textId="4E406E2C" w:rsidR="00761A23" w:rsidRPr="00761A23" w:rsidRDefault="00761A23" w:rsidP="003D293A">
      <w:r w:rsidRPr="00761A23">
        <w:t xml:space="preserve">mean customer satisfaction with </w:t>
      </w:r>
      <w:proofErr w:type="spellStart"/>
      <w:r w:rsidRPr="00761A23">
        <w:t>CityCat</w:t>
      </w:r>
      <w:proofErr w:type="spellEnd"/>
      <w:r w:rsidRPr="00761A23">
        <w:t xml:space="preserve"> and ferry services of not less than 7.0.</w:t>
      </w:r>
    </w:p>
    <w:p w14:paraId="18CF6FB2" w14:textId="77777777" w:rsidR="00761A23" w:rsidRPr="00110C6F" w:rsidRDefault="00761A23" w:rsidP="00761A23">
      <w:pPr>
        <w:pStyle w:val="ListParagraph"/>
        <w:rPr>
          <w:rFonts w:cs="Arial"/>
          <w:b/>
          <w:color w:val="0070C0"/>
          <w:szCs w:val="22"/>
        </w:rPr>
      </w:pPr>
    </w:p>
    <w:p w14:paraId="7B8E371D" w14:textId="70BF2FD7" w:rsidR="00ED3210" w:rsidRPr="00110C6F" w:rsidRDefault="005C624F" w:rsidP="003D293A">
      <w:pPr>
        <w:pStyle w:val="Heading4black"/>
      </w:pPr>
      <w:r w:rsidRPr="00110C6F">
        <w:t>Financial summary</w:t>
      </w:r>
    </w:p>
    <w:p w14:paraId="5492628F" w14:textId="77777777" w:rsidR="00ED3210" w:rsidRPr="003F2CE4" w:rsidRDefault="00ED3210" w:rsidP="00386B12">
      <w:pPr>
        <w:rPr>
          <w:rFonts w:cs="Arial"/>
          <w:b/>
          <w:color w:val="FFFFFF" w:themeColor="background1"/>
          <w:sz w:val="20"/>
          <w:szCs w:val="20"/>
        </w:rPr>
      </w:pPr>
      <w:r w:rsidRPr="003F2CE4">
        <w:rPr>
          <w:rFonts w:cs="Arial"/>
          <w:b/>
          <w:bCs/>
          <w:color w:val="FFFFFF" w:themeColor="background1"/>
          <w:szCs w:val="22"/>
          <w:lang w:val="en-AU"/>
        </w:rPr>
        <w:t xml:space="preserve"> </w:t>
      </w:r>
    </w:p>
    <w:tbl>
      <w:tblPr>
        <w:tblStyle w:val="ListTable3"/>
        <w:tblW w:w="9525" w:type="dxa"/>
        <w:tblLook w:val="04A0" w:firstRow="1" w:lastRow="0" w:firstColumn="1" w:lastColumn="0" w:noHBand="0" w:noVBand="1"/>
        <w:tblCaption w:val="Financial Summary"/>
        <w:tblDescription w:val="For the period ended September 2022&#10;Year to date actual, the following amounts are rounded to the nearest thousand&#10;Approved annual budget 2022 – 23, the following amounts are rounded to the nearest thousand&#10;Revenue, (89,941) 353,367 &#10;Expenses, (82,568) 361,333 &#10;Program operating profit (loss) before income tax, 7,373 (loss of 7,966) &#10;Reconciliation to Transport for Brisbane business activity &#10;Net impact of revenue and expenses shown in other programs, 6,754 (30,024) &#10;Operating profit (loss) before income tax, 14,127 (22,058) &#10;Income tax expense, 1,869 (3,073)&#10; Operating profit (loss) after income tax, 12,258 (18,985)"/>
      </w:tblPr>
      <w:tblGrid>
        <w:gridCol w:w="6587"/>
        <w:gridCol w:w="1116"/>
        <w:gridCol w:w="1822"/>
      </w:tblGrid>
      <w:tr w:rsidR="003F2CE4" w:rsidRPr="003F2CE4" w14:paraId="7D4583BF" w14:textId="77777777" w:rsidTr="003F2CE4">
        <w:trPr>
          <w:cnfStyle w:val="100000000000" w:firstRow="1" w:lastRow="0" w:firstColumn="0" w:lastColumn="0" w:oddVBand="0" w:evenVBand="0" w:oddHBand="0" w:evenHBand="0" w:firstRowFirstColumn="0" w:firstRowLastColumn="0" w:lastRowFirstColumn="0" w:lastRowLastColumn="0"/>
          <w:trHeight w:val="755"/>
        </w:trPr>
        <w:tc>
          <w:tcPr>
            <w:cnfStyle w:val="001000000100" w:firstRow="0" w:lastRow="0" w:firstColumn="1" w:lastColumn="0" w:oddVBand="0" w:evenVBand="0" w:oddHBand="0" w:evenHBand="0" w:firstRowFirstColumn="1" w:firstRowLastColumn="0" w:lastRowFirstColumn="0" w:lastRowLastColumn="0"/>
            <w:tcW w:w="6587" w:type="dxa"/>
            <w:hideMark/>
          </w:tcPr>
          <w:p w14:paraId="0EDBDC66" w14:textId="459B68FE" w:rsidR="00B426F5" w:rsidRPr="003F2CE4" w:rsidRDefault="00B426F5" w:rsidP="00270B86">
            <w:pPr>
              <w:ind w:left="-113"/>
              <w:rPr>
                <w:rFonts w:eastAsia="Times New Roman" w:cs="Arial"/>
                <w:b w:val="0"/>
                <w:bCs w:val="0"/>
                <w:szCs w:val="22"/>
                <w:lang w:val="en-AU" w:eastAsia="en-AU"/>
              </w:rPr>
            </w:pPr>
            <w:r w:rsidRPr="003F2CE4">
              <w:rPr>
                <w:rFonts w:eastAsia="Times New Roman" w:cs="Arial"/>
                <w:szCs w:val="22"/>
                <w:lang w:val="en-AU" w:eastAsia="en-AU"/>
              </w:rPr>
              <w:t>For the period ended</w:t>
            </w:r>
            <w:r w:rsidRPr="003F2CE4">
              <w:rPr>
                <w:rFonts w:eastAsia="Times New Roman" w:cs="Arial"/>
                <w:szCs w:val="22"/>
                <w:lang w:val="en-AU" w:eastAsia="en-AU"/>
              </w:rPr>
              <w:br/>
            </w:r>
            <w:r w:rsidR="00EA7DAA" w:rsidRPr="003F2CE4">
              <w:rPr>
                <w:rFonts w:eastAsia="Times New Roman" w:cs="Arial"/>
                <w:szCs w:val="22"/>
                <w:lang w:val="en-AU" w:eastAsia="en-AU"/>
              </w:rPr>
              <w:t>September</w:t>
            </w:r>
            <w:r w:rsidRPr="003F2CE4">
              <w:rPr>
                <w:rFonts w:eastAsia="Times New Roman" w:cs="Arial"/>
                <w:szCs w:val="22"/>
                <w:lang w:val="en-AU" w:eastAsia="en-AU"/>
              </w:rPr>
              <w:t xml:space="preserve"> 2022</w:t>
            </w:r>
          </w:p>
        </w:tc>
        <w:tc>
          <w:tcPr>
            <w:tcW w:w="1116" w:type="dxa"/>
            <w:hideMark/>
          </w:tcPr>
          <w:p w14:paraId="0CE5E5F3" w14:textId="77777777" w:rsidR="00B426F5" w:rsidRPr="003F2CE4" w:rsidRDefault="00B426F5" w:rsidP="00ED3210">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 xml:space="preserve">YTD actual           </w:t>
            </w:r>
          </w:p>
        </w:tc>
        <w:tc>
          <w:tcPr>
            <w:tcW w:w="1822" w:type="dxa"/>
            <w:hideMark/>
          </w:tcPr>
          <w:p w14:paraId="6AB3580B" w14:textId="24B29393" w:rsidR="00B426F5" w:rsidRPr="003F2CE4" w:rsidRDefault="00B426F5" w:rsidP="00ED3210">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Approved</w:t>
            </w:r>
            <w:r w:rsidR="00966919" w:rsidRPr="003F2CE4">
              <w:rPr>
                <w:rFonts w:eastAsia="Times New Roman" w:cs="Arial"/>
                <w:szCs w:val="22"/>
                <w:lang w:val="en-AU" w:eastAsia="en-AU"/>
              </w:rPr>
              <w:t xml:space="preserve"> </w:t>
            </w:r>
            <w:r w:rsidRPr="003F2CE4">
              <w:rPr>
                <w:rFonts w:eastAsia="Times New Roman" w:cs="Arial"/>
                <w:szCs w:val="22"/>
                <w:lang w:val="en-AU" w:eastAsia="en-AU"/>
              </w:rPr>
              <w:t xml:space="preserve">annual budget </w:t>
            </w:r>
            <w:r w:rsidRPr="003F2CE4">
              <w:rPr>
                <w:rFonts w:eastAsia="Times New Roman" w:cs="Arial"/>
                <w:szCs w:val="22"/>
                <w:lang w:val="en-AU" w:eastAsia="en-AU"/>
              </w:rPr>
              <w:br/>
              <w:t>202</w:t>
            </w:r>
            <w:r w:rsidR="00966919" w:rsidRPr="003F2CE4">
              <w:rPr>
                <w:rFonts w:eastAsia="Times New Roman" w:cs="Arial"/>
                <w:szCs w:val="22"/>
                <w:lang w:val="en-AU" w:eastAsia="en-AU"/>
              </w:rPr>
              <w:t>2</w:t>
            </w:r>
            <w:r w:rsidRPr="003F2CE4">
              <w:rPr>
                <w:rFonts w:eastAsia="Times New Roman" w:cs="Arial"/>
                <w:szCs w:val="22"/>
                <w:lang w:val="en-AU" w:eastAsia="en-AU"/>
              </w:rPr>
              <w:t>-2</w:t>
            </w:r>
            <w:r w:rsidR="00966919" w:rsidRPr="003F2CE4">
              <w:rPr>
                <w:rFonts w:eastAsia="Times New Roman" w:cs="Arial"/>
                <w:szCs w:val="22"/>
                <w:lang w:val="en-AU" w:eastAsia="en-AU"/>
              </w:rPr>
              <w:t>3</w:t>
            </w:r>
          </w:p>
        </w:tc>
      </w:tr>
      <w:tr w:rsidR="00B426F5" w:rsidRPr="00ED3210" w14:paraId="1EF81C47" w14:textId="77777777" w:rsidTr="003F2CE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587" w:type="dxa"/>
            <w:hideMark/>
          </w:tcPr>
          <w:p w14:paraId="6EDC29D9" w14:textId="77777777" w:rsidR="00B426F5" w:rsidRPr="003F2CE4" w:rsidRDefault="00B426F5" w:rsidP="00ED3210">
            <w:pPr>
              <w:rPr>
                <w:rFonts w:eastAsia="Times New Roman" w:cs="Arial"/>
                <w:b w:val="0"/>
                <w:bCs w:val="0"/>
                <w:szCs w:val="22"/>
                <w:lang w:val="en-AU" w:eastAsia="en-AU"/>
              </w:rPr>
            </w:pPr>
            <w:r w:rsidRPr="003F2CE4">
              <w:rPr>
                <w:rFonts w:eastAsia="Times New Roman" w:cs="Arial"/>
                <w:szCs w:val="22"/>
                <w:lang w:val="en-AU" w:eastAsia="en-AU"/>
              </w:rPr>
              <w:t> </w:t>
            </w:r>
          </w:p>
        </w:tc>
        <w:tc>
          <w:tcPr>
            <w:tcW w:w="1116" w:type="dxa"/>
            <w:noWrap/>
            <w:hideMark/>
          </w:tcPr>
          <w:p w14:paraId="5B314BD7" w14:textId="77777777" w:rsidR="00B426F5" w:rsidRPr="00ED3210" w:rsidRDefault="00B426F5" w:rsidP="00ED321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val="en-AU" w:eastAsia="en-AU"/>
              </w:rPr>
            </w:pPr>
            <w:r w:rsidRPr="00ED3210">
              <w:rPr>
                <w:rFonts w:eastAsia="Times New Roman" w:cs="Arial"/>
                <w:b/>
                <w:bCs/>
                <w:color w:val="000000"/>
                <w:szCs w:val="22"/>
                <w:lang w:val="en-AU" w:eastAsia="en-AU"/>
              </w:rPr>
              <w:t>$000</w:t>
            </w:r>
          </w:p>
        </w:tc>
        <w:tc>
          <w:tcPr>
            <w:tcW w:w="1822" w:type="dxa"/>
            <w:noWrap/>
            <w:hideMark/>
          </w:tcPr>
          <w:p w14:paraId="0D375658" w14:textId="77777777" w:rsidR="00B426F5" w:rsidRPr="00ED3210" w:rsidRDefault="00B426F5" w:rsidP="00ED321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ED3210">
              <w:rPr>
                <w:rFonts w:eastAsia="Times New Roman" w:cs="Arial"/>
                <w:b/>
                <w:bCs/>
                <w:szCs w:val="22"/>
                <w:lang w:val="en-AU" w:eastAsia="en-AU"/>
              </w:rPr>
              <w:t>$000</w:t>
            </w:r>
          </w:p>
        </w:tc>
      </w:tr>
      <w:tr w:rsidR="00B426F5" w:rsidRPr="00ED3210" w14:paraId="58DD21B8" w14:textId="77777777" w:rsidTr="003F2CE4">
        <w:trPr>
          <w:trHeight w:val="226"/>
        </w:trPr>
        <w:tc>
          <w:tcPr>
            <w:cnfStyle w:val="001000000000" w:firstRow="0" w:lastRow="0" w:firstColumn="1" w:lastColumn="0" w:oddVBand="0" w:evenVBand="0" w:oddHBand="0" w:evenHBand="0" w:firstRowFirstColumn="0" w:firstRowLastColumn="0" w:lastRowFirstColumn="0" w:lastRowLastColumn="0"/>
            <w:tcW w:w="6587" w:type="dxa"/>
            <w:noWrap/>
            <w:hideMark/>
          </w:tcPr>
          <w:p w14:paraId="2F618D03" w14:textId="77777777" w:rsidR="00B426F5" w:rsidRPr="003F2CE4" w:rsidRDefault="00B426F5" w:rsidP="00ED3210">
            <w:pPr>
              <w:jc w:val="right"/>
              <w:rPr>
                <w:rFonts w:eastAsia="Times New Roman" w:cs="Arial"/>
                <w:b w:val="0"/>
                <w:bCs w:val="0"/>
                <w:szCs w:val="22"/>
                <w:lang w:val="en-AU" w:eastAsia="en-AU"/>
              </w:rPr>
            </w:pPr>
          </w:p>
        </w:tc>
        <w:tc>
          <w:tcPr>
            <w:tcW w:w="1116" w:type="dxa"/>
            <w:noWrap/>
            <w:hideMark/>
          </w:tcPr>
          <w:p w14:paraId="0C426E50" w14:textId="77777777" w:rsidR="00B426F5" w:rsidRPr="00ED3210" w:rsidRDefault="00B426F5" w:rsidP="00ED3210">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22" w:type="dxa"/>
            <w:noWrap/>
            <w:hideMark/>
          </w:tcPr>
          <w:p w14:paraId="6B8E9AFF" w14:textId="77777777" w:rsidR="00B426F5" w:rsidRPr="00ED3210" w:rsidRDefault="00B426F5" w:rsidP="00ED3210">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173D90" w:rsidRPr="00ED3210" w14:paraId="672E8CF0" w14:textId="77777777" w:rsidTr="003F2CE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87" w:type="dxa"/>
            <w:noWrap/>
            <w:hideMark/>
          </w:tcPr>
          <w:p w14:paraId="635DB459" w14:textId="77777777" w:rsidR="00173D90" w:rsidRPr="003F2CE4" w:rsidRDefault="00173D90" w:rsidP="00173D90">
            <w:pPr>
              <w:ind w:left="-113"/>
              <w:rPr>
                <w:rFonts w:eastAsia="Times New Roman" w:cs="Arial"/>
                <w:szCs w:val="22"/>
                <w:lang w:val="en-AU" w:eastAsia="en-AU"/>
              </w:rPr>
            </w:pPr>
            <w:r w:rsidRPr="003F2CE4">
              <w:rPr>
                <w:rFonts w:eastAsia="Times New Roman" w:cs="Arial"/>
                <w:szCs w:val="22"/>
                <w:lang w:val="en-AU" w:eastAsia="en-AU"/>
              </w:rPr>
              <w:t>Revenue</w:t>
            </w:r>
          </w:p>
        </w:tc>
        <w:tc>
          <w:tcPr>
            <w:tcW w:w="1116" w:type="dxa"/>
            <w:noWrap/>
          </w:tcPr>
          <w:p w14:paraId="21B71870" w14:textId="5A509943" w:rsidR="00173D90" w:rsidRPr="00173D90" w:rsidRDefault="00E50AB8" w:rsidP="00173D90">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89,941</w:t>
            </w:r>
          </w:p>
        </w:tc>
        <w:tc>
          <w:tcPr>
            <w:tcW w:w="1822" w:type="dxa"/>
            <w:noWrap/>
          </w:tcPr>
          <w:p w14:paraId="0831524A" w14:textId="3A200729" w:rsidR="00173D90" w:rsidRPr="00173D90" w:rsidRDefault="00E50AB8" w:rsidP="00173D90">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353,367</w:t>
            </w:r>
          </w:p>
        </w:tc>
      </w:tr>
      <w:tr w:rsidR="00173D90" w:rsidRPr="00ED3210" w14:paraId="6394ABCA" w14:textId="77777777" w:rsidTr="003F2CE4">
        <w:trPr>
          <w:trHeight w:val="250"/>
        </w:trPr>
        <w:tc>
          <w:tcPr>
            <w:cnfStyle w:val="001000000000" w:firstRow="0" w:lastRow="0" w:firstColumn="1" w:lastColumn="0" w:oddVBand="0" w:evenVBand="0" w:oddHBand="0" w:evenHBand="0" w:firstRowFirstColumn="0" w:firstRowLastColumn="0" w:lastRowFirstColumn="0" w:lastRowLastColumn="0"/>
            <w:tcW w:w="6587" w:type="dxa"/>
            <w:noWrap/>
            <w:hideMark/>
          </w:tcPr>
          <w:p w14:paraId="20BC8C4E" w14:textId="77777777" w:rsidR="00173D90" w:rsidRPr="003F2CE4" w:rsidRDefault="00173D90" w:rsidP="00173D90">
            <w:pPr>
              <w:ind w:left="-113"/>
              <w:rPr>
                <w:rFonts w:eastAsia="Times New Roman" w:cs="Arial"/>
                <w:szCs w:val="22"/>
                <w:lang w:val="en-AU" w:eastAsia="en-AU"/>
              </w:rPr>
            </w:pPr>
            <w:r w:rsidRPr="003F2CE4">
              <w:rPr>
                <w:rFonts w:eastAsia="Times New Roman" w:cs="Arial"/>
                <w:szCs w:val="22"/>
                <w:lang w:val="en-AU" w:eastAsia="en-AU"/>
              </w:rPr>
              <w:t>Expenses</w:t>
            </w:r>
          </w:p>
        </w:tc>
        <w:tc>
          <w:tcPr>
            <w:tcW w:w="1116" w:type="dxa"/>
            <w:noWrap/>
          </w:tcPr>
          <w:p w14:paraId="2D7566E3" w14:textId="1EE93351" w:rsidR="00173D90" w:rsidRPr="00173D90" w:rsidRDefault="00E50AB8" w:rsidP="00173D9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82,568</w:t>
            </w:r>
          </w:p>
        </w:tc>
        <w:tc>
          <w:tcPr>
            <w:tcW w:w="1822" w:type="dxa"/>
            <w:noWrap/>
          </w:tcPr>
          <w:p w14:paraId="0BF8D1C8" w14:textId="09317D73" w:rsidR="00173D90" w:rsidRPr="00173D90" w:rsidRDefault="00E50AB8" w:rsidP="00173D9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361,333</w:t>
            </w:r>
          </w:p>
        </w:tc>
      </w:tr>
      <w:tr w:rsidR="00173D90" w:rsidRPr="00ED3210" w14:paraId="0618DE80" w14:textId="77777777" w:rsidTr="003F2CE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87" w:type="dxa"/>
            <w:noWrap/>
            <w:hideMark/>
          </w:tcPr>
          <w:p w14:paraId="65A16D0C" w14:textId="77777777" w:rsidR="00173D90" w:rsidRPr="003F2CE4" w:rsidRDefault="00173D90" w:rsidP="00173D90">
            <w:pPr>
              <w:ind w:left="-113"/>
              <w:rPr>
                <w:rFonts w:eastAsia="Times New Roman" w:cs="Arial"/>
                <w:szCs w:val="22"/>
                <w:lang w:val="en-AU" w:eastAsia="en-AU"/>
              </w:rPr>
            </w:pPr>
            <w:r w:rsidRPr="003F2CE4">
              <w:rPr>
                <w:rFonts w:eastAsia="Times New Roman" w:cs="Arial"/>
                <w:szCs w:val="22"/>
                <w:lang w:val="en-AU" w:eastAsia="en-AU"/>
              </w:rPr>
              <w:t>Program operating profit (loss) before income tax</w:t>
            </w:r>
          </w:p>
        </w:tc>
        <w:tc>
          <w:tcPr>
            <w:tcW w:w="1116" w:type="dxa"/>
            <w:noWrap/>
          </w:tcPr>
          <w:p w14:paraId="0B595C35" w14:textId="6FEC658F" w:rsidR="00173D90" w:rsidRPr="00FB6B0A" w:rsidRDefault="00E50AB8" w:rsidP="00173D9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7,373</w:t>
            </w:r>
          </w:p>
        </w:tc>
        <w:tc>
          <w:tcPr>
            <w:tcW w:w="1822" w:type="dxa"/>
            <w:noWrap/>
          </w:tcPr>
          <w:p w14:paraId="7E330377" w14:textId="02D89C7E" w:rsidR="00173D90" w:rsidRPr="00FB6B0A" w:rsidRDefault="00E50AB8" w:rsidP="00173D9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(7,966)</w:t>
            </w:r>
          </w:p>
        </w:tc>
      </w:tr>
      <w:tr w:rsidR="00173D90" w:rsidRPr="00ED3210" w14:paraId="67CAF1B2" w14:textId="77777777" w:rsidTr="003F2CE4">
        <w:trPr>
          <w:trHeight w:val="250"/>
        </w:trPr>
        <w:tc>
          <w:tcPr>
            <w:cnfStyle w:val="001000000000" w:firstRow="0" w:lastRow="0" w:firstColumn="1" w:lastColumn="0" w:oddVBand="0" w:evenVBand="0" w:oddHBand="0" w:evenHBand="0" w:firstRowFirstColumn="0" w:firstRowLastColumn="0" w:lastRowFirstColumn="0" w:lastRowLastColumn="0"/>
            <w:tcW w:w="6587" w:type="dxa"/>
            <w:noWrap/>
            <w:hideMark/>
          </w:tcPr>
          <w:p w14:paraId="031C8821" w14:textId="77777777" w:rsidR="00173D90" w:rsidRPr="003F2CE4" w:rsidRDefault="00173D90" w:rsidP="00173D90">
            <w:pPr>
              <w:ind w:left="-113"/>
              <w:jc w:val="right"/>
              <w:rPr>
                <w:rFonts w:eastAsia="Times New Roman" w:cs="Arial"/>
                <w:szCs w:val="22"/>
                <w:lang w:val="en-AU" w:eastAsia="en-AU"/>
              </w:rPr>
            </w:pPr>
          </w:p>
        </w:tc>
        <w:tc>
          <w:tcPr>
            <w:tcW w:w="1116" w:type="dxa"/>
            <w:noWrap/>
          </w:tcPr>
          <w:p w14:paraId="019DEAE5" w14:textId="77777777" w:rsidR="00173D90" w:rsidRPr="00173D90" w:rsidRDefault="00173D90" w:rsidP="00173D90">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22" w:type="dxa"/>
            <w:noWrap/>
          </w:tcPr>
          <w:p w14:paraId="22490ED6" w14:textId="77777777" w:rsidR="00173D90" w:rsidRPr="00173D90" w:rsidRDefault="00173D90" w:rsidP="00173D90">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173D90" w:rsidRPr="00ED3210" w14:paraId="35703B66" w14:textId="77777777" w:rsidTr="003F2CE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87" w:type="dxa"/>
            <w:noWrap/>
            <w:hideMark/>
          </w:tcPr>
          <w:p w14:paraId="6FA729B7" w14:textId="77777777" w:rsidR="00173D90" w:rsidRPr="003F2CE4" w:rsidRDefault="00173D90" w:rsidP="00173D90">
            <w:pPr>
              <w:ind w:left="-113"/>
              <w:rPr>
                <w:rFonts w:eastAsia="Times New Roman" w:cs="Arial"/>
                <w:szCs w:val="22"/>
                <w:u w:val="single"/>
                <w:lang w:val="en-AU" w:eastAsia="en-AU"/>
              </w:rPr>
            </w:pPr>
            <w:r w:rsidRPr="003F2CE4">
              <w:rPr>
                <w:rFonts w:eastAsia="Times New Roman" w:cs="Arial"/>
                <w:szCs w:val="22"/>
                <w:u w:val="single"/>
                <w:lang w:val="en-AU" w:eastAsia="en-AU"/>
              </w:rPr>
              <w:t>Reconciliation to Transport for Brisbane business activity</w:t>
            </w:r>
          </w:p>
        </w:tc>
        <w:tc>
          <w:tcPr>
            <w:tcW w:w="1116" w:type="dxa"/>
            <w:noWrap/>
          </w:tcPr>
          <w:p w14:paraId="05C01460" w14:textId="77777777" w:rsidR="00173D90" w:rsidRPr="00173D90" w:rsidRDefault="00173D90" w:rsidP="00173D90">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c>
          <w:tcPr>
            <w:tcW w:w="1822" w:type="dxa"/>
            <w:noWrap/>
          </w:tcPr>
          <w:p w14:paraId="34DA4AB1" w14:textId="77777777" w:rsidR="00173D90" w:rsidRPr="00173D90" w:rsidRDefault="00173D90" w:rsidP="00173D90">
            <w:pPr>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p>
        </w:tc>
      </w:tr>
      <w:tr w:rsidR="00173D90" w:rsidRPr="00ED3210" w14:paraId="3BE3028B" w14:textId="77777777" w:rsidTr="003F2CE4">
        <w:trPr>
          <w:trHeight w:val="250"/>
        </w:trPr>
        <w:tc>
          <w:tcPr>
            <w:cnfStyle w:val="001000000000" w:firstRow="0" w:lastRow="0" w:firstColumn="1" w:lastColumn="0" w:oddVBand="0" w:evenVBand="0" w:oddHBand="0" w:evenHBand="0" w:firstRowFirstColumn="0" w:firstRowLastColumn="0" w:lastRowFirstColumn="0" w:lastRowLastColumn="0"/>
            <w:tcW w:w="6587" w:type="dxa"/>
            <w:noWrap/>
          </w:tcPr>
          <w:p w14:paraId="42A3427E" w14:textId="2EE02F63" w:rsidR="00173D90" w:rsidRPr="003F2CE4" w:rsidRDefault="00173D90" w:rsidP="00173D90">
            <w:pPr>
              <w:ind w:left="-113"/>
              <w:rPr>
                <w:rFonts w:eastAsia="Times New Roman" w:cs="Arial"/>
                <w:szCs w:val="22"/>
                <w:lang w:val="en-AU" w:eastAsia="en-AU"/>
              </w:rPr>
            </w:pPr>
            <w:r w:rsidRPr="003F2CE4">
              <w:rPr>
                <w:rFonts w:eastAsia="Times New Roman" w:cs="Arial"/>
                <w:szCs w:val="22"/>
                <w:lang w:val="en-AU" w:eastAsia="en-AU"/>
              </w:rPr>
              <w:t>Net impact of revenue and expenses shown in other programs</w:t>
            </w:r>
          </w:p>
        </w:tc>
        <w:tc>
          <w:tcPr>
            <w:tcW w:w="1116" w:type="dxa"/>
            <w:noWrap/>
          </w:tcPr>
          <w:p w14:paraId="0C3AAA60" w14:textId="05D0991E" w:rsidR="00173D90" w:rsidRPr="00173D90" w:rsidRDefault="00E50AB8" w:rsidP="00173D9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6,754</w:t>
            </w:r>
          </w:p>
        </w:tc>
        <w:tc>
          <w:tcPr>
            <w:tcW w:w="1822" w:type="dxa"/>
            <w:noWrap/>
          </w:tcPr>
          <w:p w14:paraId="41A6ED1B" w14:textId="7D538976" w:rsidR="00173D90" w:rsidRPr="00173D90" w:rsidRDefault="00E50AB8" w:rsidP="00173D9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30,024</w:t>
            </w:r>
          </w:p>
        </w:tc>
      </w:tr>
      <w:tr w:rsidR="00173D90" w:rsidRPr="00ED3210" w14:paraId="68FF3E53" w14:textId="77777777" w:rsidTr="003F2CE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87" w:type="dxa"/>
            <w:noWrap/>
            <w:hideMark/>
          </w:tcPr>
          <w:p w14:paraId="0EC8BCE6" w14:textId="77777777" w:rsidR="00173D90" w:rsidRPr="003F2CE4" w:rsidRDefault="00173D90" w:rsidP="00173D90">
            <w:pPr>
              <w:ind w:left="-113"/>
              <w:rPr>
                <w:rFonts w:eastAsia="Times New Roman" w:cs="Arial"/>
                <w:szCs w:val="22"/>
                <w:lang w:val="en-AU" w:eastAsia="en-AU"/>
              </w:rPr>
            </w:pPr>
            <w:r w:rsidRPr="003F2CE4">
              <w:rPr>
                <w:rFonts w:eastAsia="Times New Roman" w:cs="Arial"/>
                <w:szCs w:val="22"/>
                <w:lang w:val="en-AU" w:eastAsia="en-AU"/>
              </w:rPr>
              <w:t>Operating profit (loss) before income tax</w:t>
            </w:r>
          </w:p>
        </w:tc>
        <w:tc>
          <w:tcPr>
            <w:tcW w:w="1116" w:type="dxa"/>
            <w:noWrap/>
          </w:tcPr>
          <w:p w14:paraId="6FFF4BE7" w14:textId="10383F9D" w:rsidR="00173D90" w:rsidRPr="00FB6B0A" w:rsidRDefault="00E50AB8" w:rsidP="00173D9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14,127</w:t>
            </w:r>
          </w:p>
        </w:tc>
        <w:tc>
          <w:tcPr>
            <w:tcW w:w="1822" w:type="dxa"/>
            <w:noWrap/>
          </w:tcPr>
          <w:p w14:paraId="300FCB83" w14:textId="2F72F2DB" w:rsidR="00173D90" w:rsidRPr="00FB6B0A" w:rsidRDefault="00E50AB8" w:rsidP="00173D9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22,058</w:t>
            </w:r>
          </w:p>
        </w:tc>
      </w:tr>
      <w:tr w:rsidR="00173D90" w:rsidRPr="00ED3210" w14:paraId="218169D2" w14:textId="77777777" w:rsidTr="003F2CE4">
        <w:trPr>
          <w:trHeight w:val="250"/>
        </w:trPr>
        <w:tc>
          <w:tcPr>
            <w:cnfStyle w:val="001000000000" w:firstRow="0" w:lastRow="0" w:firstColumn="1" w:lastColumn="0" w:oddVBand="0" w:evenVBand="0" w:oddHBand="0" w:evenHBand="0" w:firstRowFirstColumn="0" w:firstRowLastColumn="0" w:lastRowFirstColumn="0" w:lastRowLastColumn="0"/>
            <w:tcW w:w="6587" w:type="dxa"/>
            <w:noWrap/>
            <w:hideMark/>
          </w:tcPr>
          <w:p w14:paraId="4E170A6E" w14:textId="77777777" w:rsidR="00173D90" w:rsidRPr="003F2CE4" w:rsidRDefault="00173D90" w:rsidP="00173D90">
            <w:pPr>
              <w:ind w:left="-113"/>
              <w:rPr>
                <w:rFonts w:eastAsia="Times New Roman" w:cs="Arial"/>
                <w:szCs w:val="22"/>
                <w:lang w:val="en-AU" w:eastAsia="en-AU"/>
              </w:rPr>
            </w:pPr>
            <w:r w:rsidRPr="003F2CE4">
              <w:rPr>
                <w:rFonts w:eastAsia="Times New Roman" w:cs="Arial"/>
                <w:szCs w:val="22"/>
                <w:lang w:val="en-AU" w:eastAsia="en-AU"/>
              </w:rPr>
              <w:t>Income tax expense</w:t>
            </w:r>
          </w:p>
        </w:tc>
        <w:tc>
          <w:tcPr>
            <w:tcW w:w="1116" w:type="dxa"/>
            <w:noWrap/>
          </w:tcPr>
          <w:p w14:paraId="7B86C045" w14:textId="4CA92C1D" w:rsidR="00173D90" w:rsidRPr="00173D90" w:rsidRDefault="00E50AB8" w:rsidP="00173D9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1,869</w:t>
            </w:r>
          </w:p>
        </w:tc>
        <w:tc>
          <w:tcPr>
            <w:tcW w:w="1822" w:type="dxa"/>
            <w:noWrap/>
          </w:tcPr>
          <w:p w14:paraId="7B8B13BE" w14:textId="1E0BCED1" w:rsidR="00173D90" w:rsidRPr="00173D90" w:rsidRDefault="00E50AB8" w:rsidP="00173D90">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3,073</w:t>
            </w:r>
          </w:p>
        </w:tc>
      </w:tr>
      <w:tr w:rsidR="00173D90" w:rsidRPr="00ED3210" w14:paraId="1FA1CF56" w14:textId="77777777" w:rsidTr="003F2CE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87" w:type="dxa"/>
            <w:noWrap/>
            <w:hideMark/>
          </w:tcPr>
          <w:p w14:paraId="7D6EBD15" w14:textId="77777777" w:rsidR="00173D90" w:rsidRPr="003F2CE4" w:rsidRDefault="00173D90" w:rsidP="00173D90">
            <w:pPr>
              <w:ind w:left="-113"/>
              <w:rPr>
                <w:rFonts w:eastAsia="Times New Roman" w:cs="Arial"/>
                <w:b w:val="0"/>
                <w:bCs w:val="0"/>
                <w:szCs w:val="22"/>
                <w:lang w:val="en-AU" w:eastAsia="en-AU"/>
              </w:rPr>
            </w:pPr>
            <w:r w:rsidRPr="003F2CE4">
              <w:rPr>
                <w:rFonts w:eastAsia="Times New Roman" w:cs="Arial"/>
                <w:szCs w:val="22"/>
                <w:lang w:val="en-AU" w:eastAsia="en-AU"/>
              </w:rPr>
              <w:t>Operating profit (loss) after income tax</w:t>
            </w:r>
          </w:p>
        </w:tc>
        <w:tc>
          <w:tcPr>
            <w:tcW w:w="1116" w:type="dxa"/>
            <w:noWrap/>
          </w:tcPr>
          <w:p w14:paraId="5BC62EF9" w14:textId="6C06EDB5" w:rsidR="00173D90" w:rsidRPr="00FB6B0A" w:rsidRDefault="00E50AB8" w:rsidP="00173D9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12,258</w:t>
            </w:r>
          </w:p>
        </w:tc>
        <w:tc>
          <w:tcPr>
            <w:tcW w:w="1822" w:type="dxa"/>
            <w:noWrap/>
          </w:tcPr>
          <w:p w14:paraId="5D04E3BE" w14:textId="69C4CA7D" w:rsidR="00173D90" w:rsidRPr="00FB6B0A" w:rsidRDefault="00E50AB8" w:rsidP="00173D9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18,985</w:t>
            </w:r>
          </w:p>
        </w:tc>
      </w:tr>
    </w:tbl>
    <w:p w14:paraId="14CB481E" w14:textId="3A9A82A2" w:rsidR="00ED3210" w:rsidRPr="00110C6F" w:rsidRDefault="00ED3210" w:rsidP="00386B12">
      <w:pPr>
        <w:rPr>
          <w:rFonts w:cs="Arial"/>
          <w:b/>
          <w:color w:val="0070C0"/>
          <w:szCs w:val="22"/>
        </w:rPr>
      </w:pPr>
    </w:p>
    <w:p w14:paraId="337ECCBF" w14:textId="10FC490D" w:rsidR="00E50AB8" w:rsidRPr="00E50AB8" w:rsidRDefault="00E50AB8" w:rsidP="00431A91">
      <w:pPr>
        <w:jc w:val="both"/>
        <w:rPr>
          <w:rFonts w:cs="Arial"/>
        </w:rPr>
      </w:pPr>
      <w:bookmarkStart w:id="38" w:name="_Toc111126255"/>
      <w:r w:rsidRPr="00E50AB8">
        <w:rPr>
          <w:rFonts w:cs="Arial"/>
        </w:rPr>
        <w:t xml:space="preserve">Revenue and expenses reported in other programs, mainly in the Transport for Brisbane program, have been added to reflect all of Transport for Brisbane's </w:t>
      </w:r>
      <w:r w:rsidR="001B2A06">
        <w:rPr>
          <w:noProof/>
        </w:rPr>
        <w:t>National Competition Policy (</w:t>
      </w:r>
      <w:r w:rsidRPr="00E50AB8">
        <w:rPr>
          <w:rFonts w:cs="Arial"/>
        </w:rPr>
        <w:t>NCP</w:t>
      </w:r>
      <w:r w:rsidR="00D36EF0">
        <w:rPr>
          <w:rFonts w:cs="Arial"/>
        </w:rPr>
        <w:t>)</w:t>
      </w:r>
      <w:r w:rsidRPr="00E50AB8">
        <w:rPr>
          <w:rFonts w:cs="Arial"/>
        </w:rPr>
        <w:t xml:space="preserve"> activities.</w:t>
      </w:r>
    </w:p>
    <w:p w14:paraId="22818678" w14:textId="77777777" w:rsidR="00E50AB8" w:rsidRPr="00E50AB8" w:rsidRDefault="00E50AB8" w:rsidP="00431A91">
      <w:pPr>
        <w:jc w:val="both"/>
        <w:rPr>
          <w:rFonts w:cs="Arial"/>
        </w:rPr>
      </w:pPr>
    </w:p>
    <w:p w14:paraId="5E105D38" w14:textId="7B3B3959" w:rsidR="00E50AB8" w:rsidRPr="00E50AB8" w:rsidRDefault="00E50AB8" w:rsidP="00431A91">
      <w:pPr>
        <w:jc w:val="both"/>
        <w:rPr>
          <w:rFonts w:cs="Arial"/>
        </w:rPr>
      </w:pPr>
      <w:r w:rsidRPr="00E50AB8">
        <w:rPr>
          <w:rFonts w:cs="Arial"/>
        </w:rPr>
        <w:t xml:space="preserve">Revenue (excluding those reported in other programs) is above budget during the period mainly due to higher than anticipated </w:t>
      </w:r>
      <w:r w:rsidR="00826BAA" w:rsidRPr="0060062F">
        <w:t xml:space="preserve">grants and subsidies </w:t>
      </w:r>
      <w:r w:rsidRPr="00E50AB8">
        <w:rPr>
          <w:rFonts w:cs="Arial"/>
        </w:rPr>
        <w:t xml:space="preserve">relating to the Boosting Apprenticeship Commencements program. Translink revenue is also above budget due to the reimbursement of fuel and COVID-19 sanitising activities, as well as the contracted annual CPI increase being higher than budgeted. These are expected to be adjusted in the next budget </w:t>
      </w:r>
      <w:r w:rsidRPr="00254526">
        <w:rPr>
          <w:rFonts w:cs="Arial"/>
        </w:rPr>
        <w:t>review</w:t>
      </w:r>
      <w:r w:rsidR="00907B09" w:rsidRPr="00254526">
        <w:rPr>
          <w:rFonts w:cs="Arial"/>
        </w:rPr>
        <w:t xml:space="preserve"> </w:t>
      </w:r>
      <w:r w:rsidR="0087574E" w:rsidRPr="00254526">
        <w:rPr>
          <w:rFonts w:cs="Arial"/>
        </w:rPr>
        <w:t xml:space="preserve">or will </w:t>
      </w:r>
      <w:r w:rsidR="00C36F90" w:rsidRPr="00254526">
        <w:rPr>
          <w:rFonts w:cs="Arial"/>
        </w:rPr>
        <w:t>continue to be monitored throughout the year.</w:t>
      </w:r>
    </w:p>
    <w:p w14:paraId="34D50CF4" w14:textId="77777777" w:rsidR="00E50AB8" w:rsidRPr="00E50AB8" w:rsidRDefault="00E50AB8" w:rsidP="00431A91">
      <w:pPr>
        <w:jc w:val="both"/>
        <w:rPr>
          <w:rFonts w:cs="Arial"/>
        </w:rPr>
      </w:pPr>
    </w:p>
    <w:p w14:paraId="6C5EBDC9" w14:textId="32EC24E2" w:rsidR="00E50AB8" w:rsidRPr="00E50AB8" w:rsidRDefault="00E50AB8" w:rsidP="00431A91">
      <w:pPr>
        <w:jc w:val="both"/>
        <w:rPr>
          <w:rFonts w:cs="Arial"/>
        </w:rPr>
      </w:pPr>
      <w:r w:rsidRPr="00E50AB8">
        <w:rPr>
          <w:rFonts w:cs="Arial"/>
        </w:rPr>
        <w:t xml:space="preserve">Operating expenses (excluding those reported in other programs) are below budget during the period mainly due to rephased labour costs, which will continue to be monitored throughout the year. This is partly offset by </w:t>
      </w:r>
      <w:r w:rsidR="00807CDA">
        <w:rPr>
          <w:rFonts w:cs="Arial"/>
        </w:rPr>
        <w:t xml:space="preserve">accelerated </w:t>
      </w:r>
      <w:r w:rsidRPr="00E50AB8">
        <w:rPr>
          <w:rFonts w:cs="Arial"/>
        </w:rPr>
        <w:t xml:space="preserve">fuel </w:t>
      </w:r>
      <w:r w:rsidR="00807CDA">
        <w:rPr>
          <w:rFonts w:cs="Arial"/>
        </w:rPr>
        <w:t xml:space="preserve">costs </w:t>
      </w:r>
      <w:r w:rsidRPr="00E50AB8">
        <w:rPr>
          <w:rFonts w:cs="Arial"/>
        </w:rPr>
        <w:t xml:space="preserve">and </w:t>
      </w:r>
      <w:r w:rsidR="00807CDA" w:rsidRPr="00E50AB8">
        <w:rPr>
          <w:rFonts w:cs="Arial"/>
        </w:rPr>
        <w:t xml:space="preserve">higher than anticipated expenditure relating to </w:t>
      </w:r>
      <w:r w:rsidRPr="00E50AB8">
        <w:rPr>
          <w:rFonts w:cs="Arial"/>
        </w:rPr>
        <w:lastRenderedPageBreak/>
        <w:t>COVID-19 sanitising costs</w:t>
      </w:r>
      <w:r w:rsidR="00807CDA">
        <w:rPr>
          <w:rFonts w:cs="Arial"/>
        </w:rPr>
        <w:t>.</w:t>
      </w:r>
      <w:r w:rsidR="0087574E">
        <w:rPr>
          <w:rFonts w:cs="Arial"/>
        </w:rPr>
        <w:t xml:space="preserve"> </w:t>
      </w:r>
      <w:r w:rsidR="00807CDA">
        <w:rPr>
          <w:rFonts w:cs="Arial"/>
        </w:rPr>
        <w:t>These</w:t>
      </w:r>
      <w:r w:rsidRPr="00E50AB8">
        <w:rPr>
          <w:rFonts w:cs="Arial"/>
        </w:rPr>
        <w:t xml:space="preserve"> </w:t>
      </w:r>
      <w:r w:rsidR="0087574E" w:rsidRPr="00254526">
        <w:rPr>
          <w:rFonts w:cs="Arial"/>
        </w:rPr>
        <w:t>will continue to be monitored throughout the year or</w:t>
      </w:r>
      <w:r w:rsidR="0087574E">
        <w:rPr>
          <w:rFonts w:cs="Arial"/>
        </w:rPr>
        <w:t xml:space="preserve"> </w:t>
      </w:r>
      <w:r w:rsidRPr="00E50AB8">
        <w:rPr>
          <w:rFonts w:cs="Arial"/>
        </w:rPr>
        <w:t>be adjusted in the next budget review</w:t>
      </w:r>
      <w:r w:rsidRPr="0087574E">
        <w:rPr>
          <w:rFonts w:cs="Arial"/>
        </w:rPr>
        <w:t>.</w:t>
      </w:r>
      <w:r w:rsidRPr="00E50AB8">
        <w:rPr>
          <w:rFonts w:cs="Arial"/>
        </w:rPr>
        <w:t xml:space="preserve"> </w:t>
      </w:r>
    </w:p>
    <w:p w14:paraId="09A3BD5C" w14:textId="77777777" w:rsidR="00E50AB8" w:rsidRPr="00E50AB8" w:rsidRDefault="00E50AB8" w:rsidP="00431A91">
      <w:pPr>
        <w:jc w:val="both"/>
        <w:rPr>
          <w:rFonts w:cs="Arial"/>
        </w:rPr>
      </w:pPr>
    </w:p>
    <w:p w14:paraId="35BB5AF8" w14:textId="69A43747" w:rsidR="00516011" w:rsidRDefault="00E50AB8" w:rsidP="00431A91">
      <w:pPr>
        <w:jc w:val="both"/>
        <w:sectPr w:rsidR="00516011" w:rsidSect="0013507F">
          <w:footerReference w:type="default" r:id="rId53"/>
          <w:pgSz w:w="11900" w:h="16840"/>
          <w:pgMar w:top="1440" w:right="1134" w:bottom="1440" w:left="1134" w:header="709" w:footer="709" w:gutter="0"/>
          <w:cols w:space="708"/>
          <w:docGrid w:linePitch="360"/>
        </w:sectPr>
      </w:pPr>
      <w:r w:rsidRPr="00E50AB8">
        <w:rPr>
          <w:rFonts w:cs="Arial"/>
        </w:rPr>
        <w:t>The net impact shown in other programs is above budget during the period mainly due to higher than anticipated revenue relating to Transport partnerships, which is expected to be adjusted in the next budget review.</w:t>
      </w:r>
    </w:p>
    <w:p w14:paraId="559A6ADB" w14:textId="06F34A62" w:rsidR="00386B12" w:rsidRPr="00C21FF2" w:rsidRDefault="00DD3126" w:rsidP="0057257F">
      <w:pPr>
        <w:pStyle w:val="Heading3"/>
      </w:pPr>
      <w:bookmarkStart w:id="39" w:name="_Toc127436765"/>
      <w:r w:rsidRPr="00C21FF2">
        <w:lastRenderedPageBreak/>
        <w:t>City Parking</w:t>
      </w:r>
      <w:bookmarkEnd w:id="38"/>
      <w:bookmarkEnd w:id="39"/>
    </w:p>
    <w:p w14:paraId="3DA4B751" w14:textId="334C6F54" w:rsidR="00C563E6" w:rsidRPr="00C563E6" w:rsidRDefault="00C563E6" w:rsidP="00C563E6">
      <w:pPr>
        <w:rPr>
          <w:lang w:val="en-AU"/>
        </w:rPr>
      </w:pPr>
    </w:p>
    <w:p w14:paraId="14314D00" w14:textId="13D3DDE0" w:rsidR="00761A23" w:rsidRPr="00C21FF2" w:rsidRDefault="00761A23" w:rsidP="003D293A">
      <w:pPr>
        <w:pStyle w:val="Heading4black"/>
      </w:pPr>
      <w:r w:rsidRPr="00C21FF2">
        <w:t>Objective</w:t>
      </w:r>
    </w:p>
    <w:p w14:paraId="41F3896E" w14:textId="77777777" w:rsidR="00C21FF2" w:rsidRPr="00AF4675" w:rsidRDefault="00C21FF2" w:rsidP="00C21FF2">
      <w:pPr>
        <w:pStyle w:val="NormalCouncilblue"/>
        <w:spacing w:after="0" w:line="240" w:lineRule="auto"/>
        <w:rPr>
          <w:b/>
          <w:bCs/>
        </w:rPr>
      </w:pPr>
    </w:p>
    <w:p w14:paraId="08DEC7D4" w14:textId="4EC2D32E" w:rsidR="00761A23" w:rsidRDefault="0039355A" w:rsidP="00431A91">
      <w:pPr>
        <w:jc w:val="both"/>
        <w:rPr>
          <w:noProof/>
        </w:rPr>
      </w:pPr>
      <w:r w:rsidRPr="0039355A">
        <w:rPr>
          <w:noProof/>
        </w:rPr>
        <w:t>City Parking is committed to delivering parking services that meet customer needs by delivering value for money, accessible and reliable parking services.</w:t>
      </w:r>
    </w:p>
    <w:p w14:paraId="232C62EE" w14:textId="77777777" w:rsidR="0039355A" w:rsidRDefault="0039355A" w:rsidP="00C21FF2"/>
    <w:p w14:paraId="65A4B5A1" w14:textId="36EC1D80" w:rsidR="00761A23" w:rsidRDefault="00761A23" w:rsidP="003D293A">
      <w:pPr>
        <w:pStyle w:val="Heading4black"/>
      </w:pPr>
      <w:r w:rsidRPr="00C21FF2">
        <w:t xml:space="preserve">Performance </w:t>
      </w:r>
      <w:r w:rsidR="009F78B5" w:rsidRPr="00C21FF2">
        <w:t>measures</w:t>
      </w:r>
    </w:p>
    <w:p w14:paraId="1B34777E" w14:textId="77777777" w:rsidR="00C21FF2" w:rsidRPr="00C21FF2" w:rsidRDefault="00C21FF2" w:rsidP="00C21FF2">
      <w:pPr>
        <w:pStyle w:val="NormalCouncilblue"/>
        <w:spacing w:after="0" w:line="240" w:lineRule="auto"/>
        <w:rPr>
          <w:b/>
          <w:bCs/>
        </w:rPr>
      </w:pPr>
    </w:p>
    <w:tbl>
      <w:tblPr>
        <w:tblStyle w:val="ListTable3-Accent1"/>
        <w:tblW w:w="9634" w:type="dxa"/>
        <w:tblBorders>
          <w:insideH w:val="single" w:sz="4" w:space="0" w:color="4472C4" w:themeColor="accent1"/>
        </w:tblBorders>
        <w:tblLook w:val="04A0" w:firstRow="1" w:lastRow="0" w:firstColumn="1" w:lastColumn="0" w:noHBand="0" w:noVBand="1"/>
      </w:tblPr>
      <w:tblGrid>
        <w:gridCol w:w="7905"/>
        <w:gridCol w:w="1729"/>
      </w:tblGrid>
      <w:tr w:rsidR="007B0EF1" w:rsidRPr="00ED3210" w14:paraId="31D3878D" w14:textId="77777777" w:rsidTr="0028038C">
        <w:trPr>
          <w:cnfStyle w:val="100000000000" w:firstRow="1" w:lastRow="0" w:firstColumn="0" w:lastColumn="0" w:oddVBand="0" w:evenVBand="0" w:oddHBand="0" w:evenHBand="0" w:firstRowFirstColumn="0" w:firstRowLastColumn="0" w:lastRowFirstColumn="0" w:lastRowLastColumn="0"/>
          <w:trHeight w:val="176"/>
        </w:trPr>
        <w:tc>
          <w:tcPr>
            <w:cnfStyle w:val="001000000100" w:firstRow="0" w:lastRow="0" w:firstColumn="1" w:lastColumn="0" w:oddVBand="0" w:evenVBand="0" w:oddHBand="0" w:evenHBand="0" w:firstRowFirstColumn="1" w:firstRowLastColumn="0" w:lastRowFirstColumn="0" w:lastRowLastColumn="0"/>
            <w:tcW w:w="7905" w:type="dxa"/>
            <w:tcBorders>
              <w:bottom w:val="single" w:sz="4" w:space="0" w:color="4472C4" w:themeColor="accent1"/>
            </w:tcBorders>
            <w:shd w:val="clear" w:color="auto" w:fill="0067B1"/>
          </w:tcPr>
          <w:p w14:paraId="7AD8C25E" w14:textId="77777777" w:rsidR="00761A23" w:rsidRPr="00ED3210" w:rsidRDefault="00761A23" w:rsidP="000015E8">
            <w:pPr>
              <w:rPr>
                <w:rFonts w:cs="Arial"/>
                <w:b w:val="0"/>
                <w:color w:val="0070C0"/>
              </w:rPr>
            </w:pPr>
          </w:p>
        </w:tc>
        <w:tc>
          <w:tcPr>
            <w:tcW w:w="1729" w:type="dxa"/>
            <w:tcBorders>
              <w:bottom w:val="single" w:sz="4" w:space="0" w:color="4472C4" w:themeColor="accent1"/>
            </w:tcBorders>
            <w:shd w:val="clear" w:color="auto" w:fill="0067B1"/>
          </w:tcPr>
          <w:p w14:paraId="68A58B07" w14:textId="77777777" w:rsidR="00761A23" w:rsidRPr="007B0EF1" w:rsidRDefault="00761A23" w:rsidP="00761A23">
            <w:pPr>
              <w:ind w:left="37"/>
              <w:jc w:val="center"/>
              <w:cnfStyle w:val="100000000000" w:firstRow="1" w:lastRow="0" w:firstColumn="0" w:lastColumn="0" w:oddVBand="0" w:evenVBand="0" w:oddHBand="0" w:evenHBand="0" w:firstRowFirstColumn="0" w:firstRowLastColumn="0" w:lastRowFirstColumn="0" w:lastRowLastColumn="0"/>
              <w:rPr>
                <w:rFonts w:cs="Arial"/>
                <w:bCs w:val="0"/>
                <w:color w:val="0070C0"/>
              </w:rPr>
            </w:pPr>
            <w:r w:rsidRPr="007B0EF1">
              <w:rPr>
                <w:rFonts w:cs="Arial"/>
                <w:bCs w:val="0"/>
              </w:rPr>
              <w:t>Actual</w:t>
            </w:r>
          </w:p>
        </w:tc>
      </w:tr>
      <w:tr w:rsidR="007B0EF1" w:rsidRPr="00ED3210" w14:paraId="7E37A2F9" w14:textId="77777777" w:rsidTr="0028038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905" w:type="dxa"/>
          </w:tcPr>
          <w:p w14:paraId="1B03F74E" w14:textId="18DBDC3E" w:rsidR="00761A23" w:rsidRPr="007B0EF1" w:rsidRDefault="00761A23" w:rsidP="007B0EF1">
            <w:pPr>
              <w:rPr>
                <w:rFonts w:cs="Arial"/>
                <w:b w:val="0"/>
              </w:rPr>
            </w:pPr>
            <w:r w:rsidRPr="007B0EF1">
              <w:rPr>
                <w:rFonts w:cs="Arial"/>
                <w:b w:val="0"/>
              </w:rPr>
              <w:t>Average number of vehicles per bay per day in King George Square Car Park</w:t>
            </w:r>
          </w:p>
        </w:tc>
        <w:tc>
          <w:tcPr>
            <w:tcW w:w="1729" w:type="dxa"/>
          </w:tcPr>
          <w:p w14:paraId="02331EF7" w14:textId="31F245BD" w:rsidR="00761A23" w:rsidRPr="007B0EF1" w:rsidRDefault="009C2908" w:rsidP="007B0EF1">
            <w:pPr>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2.23</w:t>
            </w:r>
          </w:p>
        </w:tc>
      </w:tr>
      <w:tr w:rsidR="00761A23" w:rsidRPr="00ED3210" w14:paraId="502A4D8B" w14:textId="77777777" w:rsidTr="0028038C">
        <w:trPr>
          <w:trHeight w:val="312"/>
        </w:trPr>
        <w:tc>
          <w:tcPr>
            <w:cnfStyle w:val="001000000000" w:firstRow="0" w:lastRow="0" w:firstColumn="1" w:lastColumn="0" w:oddVBand="0" w:evenVBand="0" w:oddHBand="0" w:evenHBand="0" w:firstRowFirstColumn="0" w:firstRowLastColumn="0" w:lastRowFirstColumn="0" w:lastRowLastColumn="0"/>
            <w:tcW w:w="7905" w:type="dxa"/>
            <w:tcBorders>
              <w:right w:val="none" w:sz="0" w:space="0" w:color="auto"/>
            </w:tcBorders>
          </w:tcPr>
          <w:p w14:paraId="377421F9" w14:textId="04A70319" w:rsidR="00761A23" w:rsidRPr="007B0EF1" w:rsidRDefault="00761A23" w:rsidP="007B0EF1">
            <w:pPr>
              <w:rPr>
                <w:rFonts w:cs="Arial"/>
                <w:b w:val="0"/>
              </w:rPr>
            </w:pPr>
            <w:r w:rsidRPr="007B0EF1">
              <w:rPr>
                <w:rFonts w:cs="Arial"/>
                <w:b w:val="0"/>
              </w:rPr>
              <w:t>Average number of vehicles per bay per day in Wickham Terrace Car Park</w:t>
            </w:r>
          </w:p>
        </w:tc>
        <w:tc>
          <w:tcPr>
            <w:tcW w:w="1729" w:type="dxa"/>
          </w:tcPr>
          <w:p w14:paraId="7D480D11" w14:textId="75FC85BC" w:rsidR="00761A23" w:rsidRPr="007B0EF1" w:rsidRDefault="009C2908" w:rsidP="007B0EF1">
            <w:pPr>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0.89</w:t>
            </w:r>
          </w:p>
        </w:tc>
      </w:tr>
    </w:tbl>
    <w:p w14:paraId="01EDBDD1" w14:textId="77777777" w:rsidR="00761A23" w:rsidRDefault="00761A23" w:rsidP="00761A23">
      <w:pPr>
        <w:rPr>
          <w:rFonts w:cs="Arial"/>
          <w:b/>
          <w:color w:val="0070C0"/>
          <w:sz w:val="20"/>
          <w:szCs w:val="20"/>
        </w:rPr>
      </w:pPr>
    </w:p>
    <w:p w14:paraId="55EBBAE3" w14:textId="77777777" w:rsidR="005C624F" w:rsidRPr="00C21FF2" w:rsidRDefault="005C624F" w:rsidP="003D293A">
      <w:pPr>
        <w:pStyle w:val="Heading4black"/>
      </w:pPr>
      <w:r w:rsidRPr="00C21FF2">
        <w:t>Financial summary</w:t>
      </w:r>
    </w:p>
    <w:p w14:paraId="0FA5849A" w14:textId="77777777" w:rsidR="00761A23" w:rsidRPr="003F2CE4" w:rsidRDefault="00761A23" w:rsidP="00761A23">
      <w:pPr>
        <w:rPr>
          <w:rFonts w:cs="Arial"/>
          <w:b/>
          <w:color w:val="FFFFFF" w:themeColor="background1"/>
          <w:sz w:val="20"/>
          <w:szCs w:val="20"/>
        </w:rPr>
      </w:pPr>
      <w:r w:rsidRPr="003F2CE4">
        <w:rPr>
          <w:rFonts w:cs="Arial"/>
          <w:b/>
          <w:bCs/>
          <w:color w:val="FFFFFF" w:themeColor="background1"/>
          <w:szCs w:val="22"/>
          <w:lang w:val="en-AU"/>
        </w:rPr>
        <w:t xml:space="preserve"> </w:t>
      </w:r>
    </w:p>
    <w:tbl>
      <w:tblPr>
        <w:tblStyle w:val="ListTable3"/>
        <w:tblW w:w="9585" w:type="dxa"/>
        <w:tblLook w:val="04A0" w:firstRow="1" w:lastRow="0" w:firstColumn="1" w:lastColumn="0" w:noHBand="0" w:noVBand="1"/>
        <w:tblCaption w:val="Financial Summary"/>
        <w:tblDescription w:val="For the period ended September 2022&#10;Year to date actual, the following amounts are rounded to the nearest thousand&#10;Approved annual budget 2022 – 23, the following amounts are rounded to the nearest thousand&#10;Revenue, 2,115 (11,425)&#10;Expenses, 2,423 (9,804)&#10;Program operating profit (loss) before income tax, (loss of 308) 1,621&#10;Income tax expense, nil. 486&#10;Operating profit (loss) after income tax (loss of 308) 1,135&#10;"/>
      </w:tblPr>
      <w:tblGrid>
        <w:gridCol w:w="6530"/>
        <w:gridCol w:w="1220"/>
        <w:gridCol w:w="1835"/>
      </w:tblGrid>
      <w:tr w:rsidR="003F2CE4" w:rsidRPr="003F2CE4" w14:paraId="33535CAD" w14:textId="77777777" w:rsidTr="003F2CE4">
        <w:trPr>
          <w:cnfStyle w:val="100000000000" w:firstRow="1" w:lastRow="0" w:firstColumn="0" w:lastColumn="0" w:oddVBand="0" w:evenVBand="0" w:oddHBand="0" w:evenHBand="0" w:firstRowFirstColumn="0" w:firstRowLastColumn="0" w:lastRowFirstColumn="0" w:lastRowLastColumn="0"/>
          <w:trHeight w:val="745"/>
        </w:trPr>
        <w:tc>
          <w:tcPr>
            <w:cnfStyle w:val="001000000100" w:firstRow="0" w:lastRow="0" w:firstColumn="1" w:lastColumn="0" w:oddVBand="0" w:evenVBand="0" w:oddHBand="0" w:evenHBand="0" w:firstRowFirstColumn="1" w:firstRowLastColumn="0" w:lastRowFirstColumn="0" w:lastRowLastColumn="0"/>
            <w:tcW w:w="6530" w:type="dxa"/>
            <w:hideMark/>
          </w:tcPr>
          <w:p w14:paraId="5BDCC41D" w14:textId="289FE965" w:rsidR="00B426F5" w:rsidRPr="003F2CE4" w:rsidRDefault="00B426F5" w:rsidP="000015E8">
            <w:pPr>
              <w:ind w:left="-113"/>
              <w:rPr>
                <w:rFonts w:eastAsia="Times New Roman" w:cs="Arial"/>
                <w:b w:val="0"/>
                <w:bCs w:val="0"/>
                <w:szCs w:val="22"/>
                <w:lang w:val="en-AU" w:eastAsia="en-AU"/>
              </w:rPr>
            </w:pPr>
            <w:r w:rsidRPr="003F2CE4">
              <w:rPr>
                <w:rFonts w:eastAsia="Times New Roman" w:cs="Arial"/>
                <w:szCs w:val="22"/>
                <w:lang w:val="en-AU" w:eastAsia="en-AU"/>
              </w:rPr>
              <w:t>For the period ended</w:t>
            </w:r>
            <w:r w:rsidRPr="003F2CE4">
              <w:rPr>
                <w:rFonts w:eastAsia="Times New Roman" w:cs="Arial"/>
                <w:szCs w:val="22"/>
                <w:lang w:val="en-AU" w:eastAsia="en-AU"/>
              </w:rPr>
              <w:br/>
            </w:r>
            <w:r w:rsidR="00BA5247" w:rsidRPr="003F2CE4">
              <w:rPr>
                <w:rFonts w:eastAsia="Times New Roman" w:cs="Arial"/>
                <w:szCs w:val="22"/>
                <w:lang w:val="en-AU" w:eastAsia="en-AU"/>
              </w:rPr>
              <w:t>September</w:t>
            </w:r>
            <w:r w:rsidRPr="003F2CE4">
              <w:rPr>
                <w:rFonts w:eastAsia="Times New Roman" w:cs="Arial"/>
                <w:szCs w:val="22"/>
                <w:lang w:val="en-AU" w:eastAsia="en-AU"/>
              </w:rPr>
              <w:t xml:space="preserve"> 2022</w:t>
            </w:r>
          </w:p>
        </w:tc>
        <w:tc>
          <w:tcPr>
            <w:tcW w:w="1220" w:type="dxa"/>
            <w:hideMark/>
          </w:tcPr>
          <w:p w14:paraId="55FE6BFD" w14:textId="77777777" w:rsidR="00B426F5" w:rsidRPr="003F2CE4" w:rsidRDefault="00B426F5" w:rsidP="000015E8">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 xml:space="preserve">YTD actual           </w:t>
            </w:r>
          </w:p>
        </w:tc>
        <w:tc>
          <w:tcPr>
            <w:tcW w:w="1835" w:type="dxa"/>
            <w:hideMark/>
          </w:tcPr>
          <w:p w14:paraId="1C819C3C" w14:textId="1906CAF9" w:rsidR="00B426F5" w:rsidRPr="003F2CE4" w:rsidRDefault="00B426F5" w:rsidP="000015E8">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2"/>
                <w:lang w:val="en-AU" w:eastAsia="en-AU"/>
              </w:rPr>
            </w:pPr>
            <w:r w:rsidRPr="003F2CE4">
              <w:rPr>
                <w:rFonts w:eastAsia="Times New Roman" w:cs="Arial"/>
                <w:szCs w:val="22"/>
                <w:lang w:val="en-AU" w:eastAsia="en-AU"/>
              </w:rPr>
              <w:t>Approved</w:t>
            </w:r>
            <w:r w:rsidR="00966919" w:rsidRPr="003F2CE4">
              <w:rPr>
                <w:rFonts w:eastAsia="Times New Roman" w:cs="Arial"/>
                <w:szCs w:val="22"/>
                <w:lang w:val="en-AU" w:eastAsia="en-AU"/>
              </w:rPr>
              <w:t xml:space="preserve"> </w:t>
            </w:r>
            <w:r w:rsidRPr="003F2CE4">
              <w:rPr>
                <w:rFonts w:eastAsia="Times New Roman" w:cs="Arial"/>
                <w:szCs w:val="22"/>
                <w:lang w:val="en-AU" w:eastAsia="en-AU"/>
              </w:rPr>
              <w:t xml:space="preserve">annual budget </w:t>
            </w:r>
            <w:r w:rsidRPr="003F2CE4">
              <w:rPr>
                <w:rFonts w:eastAsia="Times New Roman" w:cs="Arial"/>
                <w:szCs w:val="22"/>
                <w:lang w:val="en-AU" w:eastAsia="en-AU"/>
              </w:rPr>
              <w:br/>
              <w:t>202</w:t>
            </w:r>
            <w:r w:rsidR="00966919" w:rsidRPr="003F2CE4">
              <w:rPr>
                <w:rFonts w:eastAsia="Times New Roman" w:cs="Arial"/>
                <w:szCs w:val="22"/>
                <w:lang w:val="en-AU" w:eastAsia="en-AU"/>
              </w:rPr>
              <w:t>2</w:t>
            </w:r>
            <w:r w:rsidRPr="003F2CE4">
              <w:rPr>
                <w:rFonts w:eastAsia="Times New Roman" w:cs="Arial"/>
                <w:szCs w:val="22"/>
                <w:lang w:val="en-AU" w:eastAsia="en-AU"/>
              </w:rPr>
              <w:t>-2</w:t>
            </w:r>
            <w:r w:rsidR="00966919" w:rsidRPr="003F2CE4">
              <w:rPr>
                <w:rFonts w:eastAsia="Times New Roman" w:cs="Arial"/>
                <w:szCs w:val="22"/>
                <w:lang w:val="en-AU" w:eastAsia="en-AU"/>
              </w:rPr>
              <w:t>3</w:t>
            </w:r>
          </w:p>
        </w:tc>
      </w:tr>
      <w:tr w:rsidR="00B426F5" w:rsidRPr="00ED3210" w14:paraId="026A9F90" w14:textId="77777777" w:rsidTr="003F2C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530" w:type="dxa"/>
            <w:hideMark/>
          </w:tcPr>
          <w:p w14:paraId="20171923" w14:textId="77777777" w:rsidR="00B426F5" w:rsidRPr="003F2CE4" w:rsidRDefault="00B426F5" w:rsidP="000015E8">
            <w:pPr>
              <w:rPr>
                <w:rFonts w:eastAsia="Times New Roman" w:cs="Arial"/>
                <w:b w:val="0"/>
                <w:bCs w:val="0"/>
                <w:szCs w:val="22"/>
                <w:lang w:val="en-AU" w:eastAsia="en-AU"/>
              </w:rPr>
            </w:pPr>
            <w:r w:rsidRPr="003F2CE4">
              <w:rPr>
                <w:rFonts w:eastAsia="Times New Roman" w:cs="Arial"/>
                <w:szCs w:val="22"/>
                <w:lang w:val="en-AU" w:eastAsia="en-AU"/>
              </w:rPr>
              <w:t> </w:t>
            </w:r>
          </w:p>
        </w:tc>
        <w:tc>
          <w:tcPr>
            <w:tcW w:w="1220" w:type="dxa"/>
            <w:noWrap/>
            <w:hideMark/>
          </w:tcPr>
          <w:p w14:paraId="05FC3C59" w14:textId="77777777" w:rsidR="00B426F5" w:rsidRPr="00ED3210" w:rsidRDefault="00B426F5" w:rsidP="000015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val="en-AU" w:eastAsia="en-AU"/>
              </w:rPr>
            </w:pPr>
            <w:r w:rsidRPr="00ED3210">
              <w:rPr>
                <w:rFonts w:eastAsia="Times New Roman" w:cs="Arial"/>
                <w:b/>
                <w:bCs/>
                <w:color w:val="000000"/>
                <w:szCs w:val="22"/>
                <w:lang w:val="en-AU" w:eastAsia="en-AU"/>
              </w:rPr>
              <w:t>$000</w:t>
            </w:r>
          </w:p>
        </w:tc>
        <w:tc>
          <w:tcPr>
            <w:tcW w:w="1835" w:type="dxa"/>
            <w:noWrap/>
            <w:hideMark/>
          </w:tcPr>
          <w:p w14:paraId="38A3E3E5" w14:textId="77777777" w:rsidR="00B426F5" w:rsidRPr="00ED3210" w:rsidRDefault="00B426F5" w:rsidP="000015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ED3210">
              <w:rPr>
                <w:rFonts w:eastAsia="Times New Roman" w:cs="Arial"/>
                <w:b/>
                <w:bCs/>
                <w:szCs w:val="22"/>
                <w:lang w:val="en-AU" w:eastAsia="en-AU"/>
              </w:rPr>
              <w:t>$000</w:t>
            </w:r>
          </w:p>
        </w:tc>
      </w:tr>
      <w:tr w:rsidR="00B426F5" w:rsidRPr="00ED3210" w14:paraId="7BC432EE" w14:textId="77777777" w:rsidTr="003F2CE4">
        <w:trPr>
          <w:trHeight w:val="253"/>
        </w:trPr>
        <w:tc>
          <w:tcPr>
            <w:cnfStyle w:val="001000000000" w:firstRow="0" w:lastRow="0" w:firstColumn="1" w:lastColumn="0" w:oddVBand="0" w:evenVBand="0" w:oddHBand="0" w:evenHBand="0" w:firstRowFirstColumn="0" w:firstRowLastColumn="0" w:lastRowFirstColumn="0" w:lastRowLastColumn="0"/>
            <w:tcW w:w="6530" w:type="dxa"/>
            <w:noWrap/>
            <w:hideMark/>
          </w:tcPr>
          <w:p w14:paraId="4F7802D8" w14:textId="77777777" w:rsidR="00B426F5" w:rsidRPr="003F2CE4" w:rsidRDefault="00B426F5" w:rsidP="000015E8">
            <w:pPr>
              <w:jc w:val="right"/>
              <w:rPr>
                <w:rFonts w:eastAsia="Times New Roman" w:cs="Arial"/>
                <w:b w:val="0"/>
                <w:bCs w:val="0"/>
                <w:szCs w:val="22"/>
                <w:lang w:val="en-AU" w:eastAsia="en-AU"/>
              </w:rPr>
            </w:pPr>
          </w:p>
        </w:tc>
        <w:tc>
          <w:tcPr>
            <w:tcW w:w="1220" w:type="dxa"/>
            <w:noWrap/>
            <w:hideMark/>
          </w:tcPr>
          <w:p w14:paraId="309A6612" w14:textId="77777777" w:rsidR="00B426F5" w:rsidRPr="00ED3210" w:rsidRDefault="00B426F5" w:rsidP="000015E8">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c>
          <w:tcPr>
            <w:tcW w:w="1835" w:type="dxa"/>
            <w:noWrap/>
            <w:hideMark/>
          </w:tcPr>
          <w:p w14:paraId="2E4A845A" w14:textId="77777777" w:rsidR="00B426F5" w:rsidRPr="00ED3210" w:rsidRDefault="00B426F5" w:rsidP="000015E8">
            <w:pPr>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p>
        </w:tc>
      </w:tr>
      <w:tr w:rsidR="00B426F5" w:rsidRPr="00ED3210" w14:paraId="02B89919" w14:textId="77777777" w:rsidTr="003F2CE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530" w:type="dxa"/>
            <w:noWrap/>
            <w:hideMark/>
          </w:tcPr>
          <w:p w14:paraId="37D30657" w14:textId="77777777" w:rsidR="00B426F5" w:rsidRPr="003F2CE4" w:rsidRDefault="00B426F5" w:rsidP="000015E8">
            <w:pPr>
              <w:ind w:left="-113"/>
              <w:rPr>
                <w:rFonts w:eastAsia="Times New Roman" w:cs="Arial"/>
                <w:szCs w:val="22"/>
                <w:lang w:val="en-AU" w:eastAsia="en-AU"/>
              </w:rPr>
            </w:pPr>
            <w:r w:rsidRPr="003F2CE4">
              <w:rPr>
                <w:rFonts w:eastAsia="Times New Roman" w:cs="Arial"/>
                <w:szCs w:val="22"/>
                <w:lang w:val="en-AU" w:eastAsia="en-AU"/>
              </w:rPr>
              <w:t>Revenue</w:t>
            </w:r>
          </w:p>
        </w:tc>
        <w:tc>
          <w:tcPr>
            <w:tcW w:w="1220" w:type="dxa"/>
            <w:noWrap/>
          </w:tcPr>
          <w:p w14:paraId="64CB1A4B" w14:textId="2FB34C7D" w:rsidR="00B426F5" w:rsidRPr="00ED3210" w:rsidRDefault="009C2908" w:rsidP="000015E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2,115</w:t>
            </w:r>
          </w:p>
        </w:tc>
        <w:tc>
          <w:tcPr>
            <w:tcW w:w="1835" w:type="dxa"/>
            <w:noWrap/>
          </w:tcPr>
          <w:p w14:paraId="5EBC8EA1" w14:textId="1379EDF6" w:rsidR="00B426F5" w:rsidRPr="00ED3210" w:rsidRDefault="009C2908" w:rsidP="000015E8">
            <w:pPr>
              <w:jc w:val="right"/>
              <w:cnfStyle w:val="000000100000" w:firstRow="0" w:lastRow="0" w:firstColumn="0" w:lastColumn="0" w:oddVBand="0" w:evenVBand="0" w:oddHBand="1"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11,425</w:t>
            </w:r>
          </w:p>
        </w:tc>
      </w:tr>
      <w:tr w:rsidR="00B426F5" w:rsidRPr="00ED3210" w14:paraId="544B606D" w14:textId="77777777" w:rsidTr="003F2CE4">
        <w:trPr>
          <w:trHeight w:val="246"/>
        </w:trPr>
        <w:tc>
          <w:tcPr>
            <w:cnfStyle w:val="001000000000" w:firstRow="0" w:lastRow="0" w:firstColumn="1" w:lastColumn="0" w:oddVBand="0" w:evenVBand="0" w:oddHBand="0" w:evenHBand="0" w:firstRowFirstColumn="0" w:firstRowLastColumn="0" w:lastRowFirstColumn="0" w:lastRowLastColumn="0"/>
            <w:tcW w:w="6530" w:type="dxa"/>
            <w:noWrap/>
            <w:hideMark/>
          </w:tcPr>
          <w:p w14:paraId="7756FABB" w14:textId="77777777" w:rsidR="00B426F5" w:rsidRPr="003F2CE4" w:rsidRDefault="00B426F5" w:rsidP="000015E8">
            <w:pPr>
              <w:ind w:left="-113"/>
              <w:rPr>
                <w:rFonts w:eastAsia="Times New Roman" w:cs="Arial"/>
                <w:szCs w:val="22"/>
                <w:lang w:val="en-AU" w:eastAsia="en-AU"/>
              </w:rPr>
            </w:pPr>
            <w:r w:rsidRPr="003F2CE4">
              <w:rPr>
                <w:rFonts w:eastAsia="Times New Roman" w:cs="Arial"/>
                <w:szCs w:val="22"/>
                <w:lang w:val="en-AU" w:eastAsia="en-AU"/>
              </w:rPr>
              <w:t>Expenses</w:t>
            </w:r>
          </w:p>
        </w:tc>
        <w:tc>
          <w:tcPr>
            <w:tcW w:w="1220" w:type="dxa"/>
            <w:noWrap/>
          </w:tcPr>
          <w:p w14:paraId="7E83166D" w14:textId="3846741B" w:rsidR="00B426F5" w:rsidRPr="00AF2C3E" w:rsidRDefault="009C2908" w:rsidP="000015E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AF2C3E">
              <w:rPr>
                <w:rFonts w:eastAsia="Times New Roman" w:cs="Arial"/>
                <w:szCs w:val="22"/>
                <w:lang w:val="en-AU" w:eastAsia="en-AU"/>
              </w:rPr>
              <w:t>2,423</w:t>
            </w:r>
          </w:p>
        </w:tc>
        <w:tc>
          <w:tcPr>
            <w:tcW w:w="1835" w:type="dxa"/>
            <w:noWrap/>
          </w:tcPr>
          <w:p w14:paraId="06004B0A" w14:textId="3BF219B1" w:rsidR="00B426F5" w:rsidRPr="00ED3210" w:rsidRDefault="009C2908" w:rsidP="000015E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9,804</w:t>
            </w:r>
          </w:p>
        </w:tc>
      </w:tr>
      <w:tr w:rsidR="00B426F5" w:rsidRPr="00ED3210" w14:paraId="2E2F9EDF" w14:textId="77777777" w:rsidTr="003F2CE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530" w:type="dxa"/>
            <w:noWrap/>
            <w:hideMark/>
          </w:tcPr>
          <w:p w14:paraId="5552C887" w14:textId="238D000F" w:rsidR="00B426F5" w:rsidRPr="003F2CE4" w:rsidRDefault="00B426F5" w:rsidP="000015E8">
            <w:pPr>
              <w:ind w:left="-113"/>
              <w:rPr>
                <w:rFonts w:eastAsia="Times New Roman" w:cs="Arial"/>
                <w:szCs w:val="22"/>
                <w:lang w:val="en-AU" w:eastAsia="en-AU"/>
              </w:rPr>
            </w:pPr>
            <w:r w:rsidRPr="003F2CE4">
              <w:rPr>
                <w:rFonts w:eastAsia="Times New Roman" w:cs="Arial"/>
                <w:szCs w:val="22"/>
                <w:lang w:val="en-AU" w:eastAsia="en-AU"/>
              </w:rPr>
              <w:t>Program operating profit (loss) before income tax</w:t>
            </w:r>
          </w:p>
        </w:tc>
        <w:tc>
          <w:tcPr>
            <w:tcW w:w="1220" w:type="dxa"/>
            <w:noWrap/>
            <w:hideMark/>
          </w:tcPr>
          <w:p w14:paraId="33DD4FBF" w14:textId="1A1AB6A5" w:rsidR="00B426F5" w:rsidRPr="00FB6B0A" w:rsidRDefault="009C2908" w:rsidP="000015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(308)</w:t>
            </w:r>
          </w:p>
        </w:tc>
        <w:tc>
          <w:tcPr>
            <w:tcW w:w="1835" w:type="dxa"/>
            <w:noWrap/>
          </w:tcPr>
          <w:p w14:paraId="4C492C26" w14:textId="19DB649F" w:rsidR="00B426F5" w:rsidRPr="00FB6B0A" w:rsidRDefault="009C2908" w:rsidP="000015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1,621</w:t>
            </w:r>
          </w:p>
        </w:tc>
      </w:tr>
      <w:tr w:rsidR="00B426F5" w:rsidRPr="00ED3210" w14:paraId="7C5289C6" w14:textId="77777777" w:rsidTr="003F2CE4">
        <w:trPr>
          <w:trHeight w:val="246"/>
        </w:trPr>
        <w:tc>
          <w:tcPr>
            <w:cnfStyle w:val="001000000000" w:firstRow="0" w:lastRow="0" w:firstColumn="1" w:lastColumn="0" w:oddVBand="0" w:evenVBand="0" w:oddHBand="0" w:evenHBand="0" w:firstRowFirstColumn="0" w:firstRowLastColumn="0" w:lastRowFirstColumn="0" w:lastRowLastColumn="0"/>
            <w:tcW w:w="6530" w:type="dxa"/>
            <w:noWrap/>
            <w:hideMark/>
          </w:tcPr>
          <w:p w14:paraId="4036AEF0" w14:textId="77777777" w:rsidR="00B426F5" w:rsidRPr="003F2CE4" w:rsidRDefault="00B426F5" w:rsidP="000015E8">
            <w:pPr>
              <w:ind w:left="-113"/>
              <w:rPr>
                <w:rFonts w:eastAsia="Times New Roman" w:cs="Arial"/>
                <w:szCs w:val="22"/>
                <w:lang w:val="en-AU" w:eastAsia="en-AU"/>
              </w:rPr>
            </w:pPr>
            <w:r w:rsidRPr="003F2CE4">
              <w:rPr>
                <w:rFonts w:eastAsia="Times New Roman" w:cs="Arial"/>
                <w:szCs w:val="22"/>
                <w:lang w:val="en-AU" w:eastAsia="en-AU"/>
              </w:rPr>
              <w:t>Income tax expense</w:t>
            </w:r>
          </w:p>
        </w:tc>
        <w:tc>
          <w:tcPr>
            <w:tcW w:w="1220" w:type="dxa"/>
            <w:noWrap/>
            <w:hideMark/>
          </w:tcPr>
          <w:p w14:paraId="565F8746" w14:textId="17C0B652" w:rsidR="00B426F5" w:rsidRPr="00AF2C3E" w:rsidRDefault="00B426F5" w:rsidP="000015E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sidRPr="00AF2C3E">
              <w:rPr>
                <w:rFonts w:eastAsia="Times New Roman" w:cs="Arial"/>
                <w:szCs w:val="22"/>
                <w:lang w:val="en-AU" w:eastAsia="en-AU"/>
              </w:rPr>
              <w:t xml:space="preserve">- </w:t>
            </w:r>
          </w:p>
        </w:tc>
        <w:tc>
          <w:tcPr>
            <w:tcW w:w="1835" w:type="dxa"/>
            <w:noWrap/>
          </w:tcPr>
          <w:p w14:paraId="29D570BB" w14:textId="6CCC7420" w:rsidR="00B426F5" w:rsidRPr="00ED3210" w:rsidRDefault="009C2908" w:rsidP="000015E8">
            <w:pPr>
              <w:jc w:val="right"/>
              <w:cnfStyle w:val="000000000000" w:firstRow="0" w:lastRow="0" w:firstColumn="0" w:lastColumn="0" w:oddVBand="0" w:evenVBand="0" w:oddHBand="0" w:evenHBand="0" w:firstRowFirstColumn="0" w:firstRowLastColumn="0" w:lastRowFirstColumn="0" w:lastRowLastColumn="0"/>
              <w:rPr>
                <w:rFonts w:eastAsia="Times New Roman" w:cs="Arial"/>
                <w:szCs w:val="22"/>
                <w:lang w:val="en-AU" w:eastAsia="en-AU"/>
              </w:rPr>
            </w:pPr>
            <w:r>
              <w:rPr>
                <w:rFonts w:eastAsia="Times New Roman" w:cs="Arial"/>
                <w:szCs w:val="22"/>
                <w:lang w:val="en-AU" w:eastAsia="en-AU"/>
              </w:rPr>
              <w:t>486</w:t>
            </w:r>
          </w:p>
        </w:tc>
      </w:tr>
      <w:tr w:rsidR="00B426F5" w:rsidRPr="00ED3210" w14:paraId="02C9EA40" w14:textId="77777777" w:rsidTr="003F2CE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530" w:type="dxa"/>
            <w:noWrap/>
            <w:hideMark/>
          </w:tcPr>
          <w:p w14:paraId="755794F6" w14:textId="19C9A0C9" w:rsidR="00B426F5" w:rsidRPr="003F2CE4" w:rsidRDefault="00B426F5" w:rsidP="000015E8">
            <w:pPr>
              <w:ind w:left="-113"/>
              <w:rPr>
                <w:rFonts w:eastAsia="Times New Roman" w:cs="Arial"/>
                <w:b w:val="0"/>
                <w:bCs w:val="0"/>
                <w:szCs w:val="22"/>
                <w:lang w:val="en-AU" w:eastAsia="en-AU"/>
              </w:rPr>
            </w:pPr>
            <w:r w:rsidRPr="003F2CE4">
              <w:rPr>
                <w:rFonts w:eastAsia="Times New Roman" w:cs="Arial"/>
                <w:szCs w:val="22"/>
                <w:lang w:val="en-AU" w:eastAsia="en-AU"/>
              </w:rPr>
              <w:t>Operating profit (loss) after income tax</w:t>
            </w:r>
          </w:p>
        </w:tc>
        <w:tc>
          <w:tcPr>
            <w:tcW w:w="1220" w:type="dxa"/>
            <w:noWrap/>
            <w:hideMark/>
          </w:tcPr>
          <w:p w14:paraId="1640D061" w14:textId="16C6E954" w:rsidR="00B426F5" w:rsidRPr="00FB6B0A" w:rsidRDefault="009C2908" w:rsidP="000015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(308)</w:t>
            </w:r>
          </w:p>
        </w:tc>
        <w:tc>
          <w:tcPr>
            <w:tcW w:w="1835" w:type="dxa"/>
            <w:noWrap/>
            <w:hideMark/>
          </w:tcPr>
          <w:p w14:paraId="4F86D5EE" w14:textId="741A7D24" w:rsidR="00B426F5" w:rsidRPr="00FB6B0A" w:rsidRDefault="009C2908" w:rsidP="000015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Cs w:val="22"/>
                <w:lang w:val="en-AU" w:eastAsia="en-AU"/>
              </w:rPr>
            </w:pPr>
            <w:r w:rsidRPr="00FB6B0A">
              <w:rPr>
                <w:rFonts w:eastAsia="Times New Roman" w:cs="Arial"/>
                <w:b/>
                <w:bCs/>
                <w:szCs w:val="22"/>
                <w:lang w:val="en-AU" w:eastAsia="en-AU"/>
              </w:rPr>
              <w:t>1,135</w:t>
            </w:r>
          </w:p>
        </w:tc>
      </w:tr>
    </w:tbl>
    <w:p w14:paraId="172C441D" w14:textId="77777777" w:rsidR="00761A23" w:rsidRPr="0039355A" w:rsidRDefault="00761A23" w:rsidP="00761A23">
      <w:pPr>
        <w:rPr>
          <w:rFonts w:cs="Arial"/>
          <w:b/>
          <w:color w:val="0070C0"/>
          <w:szCs w:val="22"/>
        </w:rPr>
      </w:pPr>
    </w:p>
    <w:p w14:paraId="21318ECF" w14:textId="03CDD8F7" w:rsidR="0039355A" w:rsidRDefault="0039355A" w:rsidP="00431A91">
      <w:pPr>
        <w:jc w:val="both"/>
        <w:rPr>
          <w:noProof/>
        </w:rPr>
      </w:pPr>
      <w:r>
        <w:rPr>
          <w:noProof/>
        </w:rPr>
        <w:t xml:space="preserve">City Parking revenue and expenses for </w:t>
      </w:r>
      <w:r w:rsidR="00D36EF0">
        <w:rPr>
          <w:noProof/>
        </w:rPr>
        <w:t>NCP</w:t>
      </w:r>
      <w:r>
        <w:rPr>
          <w:noProof/>
        </w:rPr>
        <w:t xml:space="preserve"> activities are reported mainly in the Infrastructure for Brisbane program.</w:t>
      </w:r>
    </w:p>
    <w:p w14:paraId="0540630F" w14:textId="77777777" w:rsidR="0039355A" w:rsidRDefault="0039355A" w:rsidP="00431A91">
      <w:pPr>
        <w:jc w:val="both"/>
        <w:rPr>
          <w:noProof/>
        </w:rPr>
      </w:pPr>
    </w:p>
    <w:p w14:paraId="1224F159" w14:textId="6C5BDCB2" w:rsidR="0039355A" w:rsidRDefault="0039355A" w:rsidP="00431A91">
      <w:pPr>
        <w:jc w:val="both"/>
        <w:rPr>
          <w:noProof/>
        </w:rPr>
      </w:pPr>
      <w:r>
        <w:rPr>
          <w:noProof/>
        </w:rPr>
        <w:t xml:space="preserve">Revenue is below budget during the period mainly due to </w:t>
      </w:r>
      <w:r w:rsidR="00431A91">
        <w:rPr>
          <w:noProof/>
        </w:rPr>
        <w:t>rephased</w:t>
      </w:r>
      <w:r>
        <w:rPr>
          <w:noProof/>
        </w:rPr>
        <w:t xml:space="preserve"> parking fees and vehicle turnover. This </w:t>
      </w:r>
      <w:r w:rsidR="00405979">
        <w:rPr>
          <w:noProof/>
        </w:rPr>
        <w:t>will continue to be monitored throughout the year.</w:t>
      </w:r>
    </w:p>
    <w:p w14:paraId="2E4B8DF8" w14:textId="77777777" w:rsidR="0039355A" w:rsidRDefault="0039355A" w:rsidP="00431A91">
      <w:pPr>
        <w:jc w:val="both"/>
        <w:rPr>
          <w:noProof/>
        </w:rPr>
      </w:pPr>
    </w:p>
    <w:p w14:paraId="4B3AFAE8" w14:textId="6E89FDD1" w:rsidR="00C77EDA" w:rsidRPr="00E50AB8" w:rsidRDefault="0039355A" w:rsidP="00431A91">
      <w:pPr>
        <w:jc w:val="both"/>
        <w:rPr>
          <w:lang w:val="en-AU"/>
        </w:rPr>
      </w:pPr>
      <w:r>
        <w:rPr>
          <w:noProof/>
        </w:rPr>
        <w:t>Operating expenses are on track against budget.</w:t>
      </w:r>
      <w:r w:rsidR="00AB2D20">
        <w:rPr>
          <w:noProof/>
        </w:rPr>
        <w:t xml:space="preserve">    </w:t>
      </w:r>
    </w:p>
    <w:sectPr w:rsidR="00C77EDA" w:rsidRPr="00E50AB8" w:rsidSect="0013507F">
      <w:footerReference w:type="default" r:id="rId54"/>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4836" w14:textId="77777777" w:rsidR="009B0E7C" w:rsidRDefault="009B0E7C" w:rsidP="004C0FC6">
      <w:r>
        <w:separator/>
      </w:r>
    </w:p>
  </w:endnote>
  <w:endnote w:type="continuationSeparator" w:id="0">
    <w:p w14:paraId="43FA259B" w14:textId="77777777" w:rsidR="009B0E7C" w:rsidRDefault="009B0E7C" w:rsidP="004C0FC6">
      <w:r>
        <w:continuationSeparator/>
      </w:r>
    </w:p>
  </w:endnote>
  <w:endnote w:type="continuationNotice" w:id="1">
    <w:p w14:paraId="7A1751E3" w14:textId="77777777" w:rsidR="009B0E7C" w:rsidRDefault="009B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DFB5" w14:textId="4B860073" w:rsidR="00584704" w:rsidRDefault="00D12CE7">
    <w:pPr>
      <w:pStyle w:val="Footer"/>
    </w:pPr>
    <w:r>
      <w:rPr>
        <w:noProof/>
      </w:rPr>
      <mc:AlternateContent>
        <mc:Choice Requires="wps">
          <w:drawing>
            <wp:inline distT="0" distB="0" distL="0" distR="0" wp14:anchorId="6ECC287F" wp14:editId="2021CF74">
              <wp:extent cx="443865" cy="443865"/>
              <wp:effectExtent l="0" t="0" r="14605" b="16510"/>
              <wp:docPr id="7"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BCA86" w14:textId="67455B75" w:rsidR="00D12CE7" w:rsidRPr="00D12CE7" w:rsidRDefault="00D12CE7">
                          <w:pPr>
                            <w:rPr>
                              <w:rFonts w:ascii="Calibri" w:eastAsia="Calibri" w:hAnsi="Calibri" w:cs="Calibri"/>
                              <w:noProof/>
                              <w:color w:val="FF0000"/>
                              <w:sz w:val="20"/>
                              <w:szCs w:val="20"/>
                            </w:rPr>
                          </w:pPr>
                          <w:r w:rsidRPr="00D12CE7">
                            <w:rPr>
                              <w:rFonts w:ascii="Calibri" w:eastAsia="Calibri" w:hAnsi="Calibri" w:cs="Calibri"/>
                              <w:noProof/>
                              <w:color w:val="FF0000"/>
                              <w:sz w:val="2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ECC287F" id="_x0000_t202" coordsize="21600,21600" o:spt="202" path="m,l,21600r21600,l21600,xe">
              <v:stroke joinstyle="miter"/>
              <v:path gradientshapeok="t" o:connecttype="rect"/>
            </v:shapetype>
            <v:shape id="Text Box 3" o:spid="_x0000_s1026"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696BCA86" w14:textId="67455B75" w:rsidR="00D12CE7" w:rsidRPr="00D12CE7" w:rsidRDefault="00D12CE7">
                    <w:pPr>
                      <w:rPr>
                        <w:rFonts w:ascii="Calibri" w:eastAsia="Calibri" w:hAnsi="Calibri" w:cs="Calibri"/>
                        <w:noProof/>
                        <w:color w:val="FF0000"/>
                        <w:sz w:val="20"/>
                        <w:szCs w:val="20"/>
                      </w:rPr>
                    </w:pPr>
                    <w:r w:rsidRPr="00D12CE7">
                      <w:rPr>
                        <w:rFonts w:ascii="Calibri" w:eastAsia="Calibri" w:hAnsi="Calibri" w:cs="Calibri"/>
                        <w:noProof/>
                        <w:color w:val="FF0000"/>
                        <w:sz w:val="20"/>
                        <w:szCs w:val="20"/>
                      </w:rPr>
                      <w:t>SECURITY LABEL: OFFICIAL</w:t>
                    </w:r>
                  </w:p>
                </w:txbxContent>
              </v:textbox>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432897233"/>
      <w:docPartObj>
        <w:docPartGallery w:val="Page Numbers (Bottom of Page)"/>
        <w:docPartUnique/>
      </w:docPartObj>
    </w:sdtPr>
    <w:sdtEndPr>
      <w:rPr>
        <w:noProof/>
      </w:rPr>
    </w:sdtEndPr>
    <w:sdtContent>
      <w:p w14:paraId="783A08C6" w14:textId="556148A6" w:rsidR="00516011" w:rsidRPr="00B24360" w:rsidRDefault="00516011" w:rsidP="00A85CB3">
        <w:pPr>
          <w:pStyle w:val="Footer"/>
          <w:rPr>
            <w:sz w:val="18"/>
            <w:szCs w:val="20"/>
          </w:rPr>
        </w:pPr>
        <w:r>
          <w:rPr>
            <w:sz w:val="18"/>
            <w:szCs w:val="20"/>
          </w:rPr>
          <w:t>Program 3</w:t>
        </w:r>
        <w:r w:rsidRPr="00B24360">
          <w:rPr>
            <w:sz w:val="18"/>
            <w:szCs w:val="20"/>
          </w:rPr>
          <w:tab/>
          <w:t xml:space="preserve">Section </w:t>
        </w:r>
        <w:r>
          <w:rPr>
            <w:sz w:val="18"/>
            <w:szCs w:val="20"/>
          </w:rPr>
          <w:t>2</w:t>
        </w:r>
        <w:r w:rsidRPr="00B24360">
          <w:rPr>
            <w:sz w:val="18"/>
            <w:szCs w:val="20"/>
          </w:rPr>
          <w:t xml:space="preserve"> –</w:t>
        </w:r>
        <w:r>
          <w:rPr>
            <w:sz w:val="18"/>
            <w:szCs w:val="20"/>
          </w:rPr>
          <w:t xml:space="preserve"> Annual Operational Plan Progress Report</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656F85F8" w14:textId="77777777" w:rsidR="00516011" w:rsidRDefault="0051601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27565066"/>
      <w:docPartObj>
        <w:docPartGallery w:val="Page Numbers (Bottom of Page)"/>
        <w:docPartUnique/>
      </w:docPartObj>
    </w:sdtPr>
    <w:sdtEndPr>
      <w:rPr>
        <w:noProof/>
      </w:rPr>
    </w:sdtEndPr>
    <w:sdtContent>
      <w:p w14:paraId="175A91FC" w14:textId="690F5C8C" w:rsidR="00516011" w:rsidRPr="00B24360" w:rsidRDefault="00516011" w:rsidP="00A85CB3">
        <w:pPr>
          <w:pStyle w:val="Footer"/>
          <w:rPr>
            <w:sz w:val="18"/>
            <w:szCs w:val="20"/>
          </w:rPr>
        </w:pPr>
        <w:r>
          <w:rPr>
            <w:sz w:val="18"/>
            <w:szCs w:val="20"/>
          </w:rPr>
          <w:t>Program 4</w:t>
        </w:r>
        <w:r w:rsidRPr="00B24360">
          <w:rPr>
            <w:sz w:val="18"/>
            <w:szCs w:val="20"/>
          </w:rPr>
          <w:tab/>
          <w:t xml:space="preserve">Section </w:t>
        </w:r>
        <w:r>
          <w:rPr>
            <w:sz w:val="18"/>
            <w:szCs w:val="20"/>
          </w:rPr>
          <w:t>2</w:t>
        </w:r>
        <w:r w:rsidRPr="00B24360">
          <w:rPr>
            <w:sz w:val="18"/>
            <w:szCs w:val="20"/>
          </w:rPr>
          <w:t xml:space="preserve"> –</w:t>
        </w:r>
        <w:r>
          <w:rPr>
            <w:sz w:val="18"/>
            <w:szCs w:val="20"/>
          </w:rPr>
          <w:t xml:space="preserve"> Annual Operational Plan Progress Report</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089F3662" w14:textId="77777777" w:rsidR="00516011" w:rsidRDefault="0051601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088972123"/>
      <w:docPartObj>
        <w:docPartGallery w:val="Page Numbers (Bottom of Page)"/>
        <w:docPartUnique/>
      </w:docPartObj>
    </w:sdtPr>
    <w:sdtEndPr>
      <w:rPr>
        <w:noProof/>
      </w:rPr>
    </w:sdtEndPr>
    <w:sdtContent>
      <w:p w14:paraId="4DBE02CE" w14:textId="11A18BEA" w:rsidR="00516011" w:rsidRPr="00B24360" w:rsidRDefault="00516011" w:rsidP="00A85CB3">
        <w:pPr>
          <w:pStyle w:val="Footer"/>
          <w:rPr>
            <w:sz w:val="18"/>
            <w:szCs w:val="20"/>
          </w:rPr>
        </w:pPr>
        <w:r>
          <w:rPr>
            <w:sz w:val="18"/>
            <w:szCs w:val="20"/>
          </w:rPr>
          <w:t xml:space="preserve">Program </w:t>
        </w:r>
        <w:r w:rsidR="005109F7">
          <w:rPr>
            <w:sz w:val="18"/>
            <w:szCs w:val="20"/>
          </w:rPr>
          <w:t>5</w:t>
        </w:r>
        <w:r w:rsidRPr="00B24360">
          <w:rPr>
            <w:sz w:val="18"/>
            <w:szCs w:val="20"/>
          </w:rPr>
          <w:tab/>
          <w:t xml:space="preserve">Section </w:t>
        </w:r>
        <w:r>
          <w:rPr>
            <w:sz w:val="18"/>
            <w:szCs w:val="20"/>
          </w:rPr>
          <w:t>2</w:t>
        </w:r>
        <w:r w:rsidRPr="00B24360">
          <w:rPr>
            <w:sz w:val="18"/>
            <w:szCs w:val="20"/>
          </w:rPr>
          <w:t xml:space="preserve"> –</w:t>
        </w:r>
        <w:r>
          <w:rPr>
            <w:sz w:val="18"/>
            <w:szCs w:val="20"/>
          </w:rPr>
          <w:t xml:space="preserve"> Annual Operational Plan Progress Report</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0D7E730E" w14:textId="77777777" w:rsidR="00516011" w:rsidRDefault="005160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310973037"/>
      <w:docPartObj>
        <w:docPartGallery w:val="Page Numbers (Bottom of Page)"/>
        <w:docPartUnique/>
      </w:docPartObj>
    </w:sdtPr>
    <w:sdtEndPr>
      <w:rPr>
        <w:noProof/>
      </w:rPr>
    </w:sdtEndPr>
    <w:sdtContent>
      <w:p w14:paraId="52D9CF43" w14:textId="1FB8BCE9" w:rsidR="005109F7" w:rsidRPr="00B24360" w:rsidRDefault="005109F7" w:rsidP="00A85CB3">
        <w:pPr>
          <w:pStyle w:val="Footer"/>
          <w:rPr>
            <w:sz w:val="18"/>
            <w:szCs w:val="20"/>
          </w:rPr>
        </w:pPr>
        <w:r>
          <w:rPr>
            <w:sz w:val="18"/>
            <w:szCs w:val="20"/>
          </w:rPr>
          <w:t>Program 6</w:t>
        </w:r>
        <w:r w:rsidRPr="00B24360">
          <w:rPr>
            <w:sz w:val="18"/>
            <w:szCs w:val="20"/>
          </w:rPr>
          <w:tab/>
          <w:t xml:space="preserve">Section </w:t>
        </w:r>
        <w:r>
          <w:rPr>
            <w:sz w:val="18"/>
            <w:szCs w:val="20"/>
          </w:rPr>
          <w:t>2</w:t>
        </w:r>
        <w:r w:rsidRPr="00B24360">
          <w:rPr>
            <w:sz w:val="18"/>
            <w:szCs w:val="20"/>
          </w:rPr>
          <w:t xml:space="preserve"> –</w:t>
        </w:r>
        <w:r>
          <w:rPr>
            <w:sz w:val="18"/>
            <w:szCs w:val="20"/>
          </w:rPr>
          <w:t xml:space="preserve"> Annual Operational Plan Progress Report</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08F12B1D" w14:textId="77777777" w:rsidR="005109F7" w:rsidRDefault="005109F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2107115481"/>
      <w:docPartObj>
        <w:docPartGallery w:val="Page Numbers (Bottom of Page)"/>
        <w:docPartUnique/>
      </w:docPartObj>
    </w:sdtPr>
    <w:sdtEndPr>
      <w:rPr>
        <w:noProof/>
      </w:rPr>
    </w:sdtEndPr>
    <w:sdtContent>
      <w:p w14:paraId="2B00F9CE" w14:textId="52356D41" w:rsidR="005109F7" w:rsidRPr="00B24360" w:rsidRDefault="005109F7" w:rsidP="00A85CB3">
        <w:pPr>
          <w:pStyle w:val="Footer"/>
          <w:rPr>
            <w:sz w:val="18"/>
            <w:szCs w:val="20"/>
          </w:rPr>
        </w:pPr>
        <w:r>
          <w:rPr>
            <w:sz w:val="18"/>
            <w:szCs w:val="20"/>
          </w:rPr>
          <w:t>Program 7</w:t>
        </w:r>
        <w:r w:rsidRPr="00B24360">
          <w:rPr>
            <w:sz w:val="18"/>
            <w:szCs w:val="20"/>
          </w:rPr>
          <w:tab/>
          <w:t xml:space="preserve">Section </w:t>
        </w:r>
        <w:r>
          <w:rPr>
            <w:sz w:val="18"/>
            <w:szCs w:val="20"/>
          </w:rPr>
          <w:t>2</w:t>
        </w:r>
        <w:r w:rsidRPr="00B24360">
          <w:rPr>
            <w:sz w:val="18"/>
            <w:szCs w:val="20"/>
          </w:rPr>
          <w:t xml:space="preserve"> –</w:t>
        </w:r>
        <w:r>
          <w:rPr>
            <w:sz w:val="18"/>
            <w:szCs w:val="20"/>
          </w:rPr>
          <w:t xml:space="preserve"> Annual Operational Plan Progress Report</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5F7C15FF" w14:textId="77777777" w:rsidR="005109F7" w:rsidRDefault="005109F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92607085"/>
      <w:docPartObj>
        <w:docPartGallery w:val="Page Numbers (Bottom of Page)"/>
        <w:docPartUnique/>
      </w:docPartObj>
    </w:sdtPr>
    <w:sdtEndPr>
      <w:rPr>
        <w:noProof/>
      </w:rPr>
    </w:sdtEndPr>
    <w:sdtContent>
      <w:p w14:paraId="55A0016C" w14:textId="1140DF2E" w:rsidR="005109F7" w:rsidRPr="00B24360" w:rsidRDefault="005109F7" w:rsidP="00A85CB3">
        <w:pPr>
          <w:pStyle w:val="Footer"/>
          <w:rPr>
            <w:sz w:val="18"/>
            <w:szCs w:val="20"/>
          </w:rPr>
        </w:pPr>
        <w:r>
          <w:rPr>
            <w:sz w:val="18"/>
            <w:szCs w:val="20"/>
          </w:rPr>
          <w:t>Program 8</w:t>
        </w:r>
        <w:r w:rsidRPr="00B24360">
          <w:rPr>
            <w:sz w:val="18"/>
            <w:szCs w:val="20"/>
          </w:rPr>
          <w:tab/>
          <w:t xml:space="preserve">Section </w:t>
        </w:r>
        <w:r>
          <w:rPr>
            <w:sz w:val="18"/>
            <w:szCs w:val="20"/>
          </w:rPr>
          <w:t>2</w:t>
        </w:r>
        <w:r w:rsidRPr="00B24360">
          <w:rPr>
            <w:sz w:val="18"/>
            <w:szCs w:val="20"/>
          </w:rPr>
          <w:t xml:space="preserve"> –</w:t>
        </w:r>
        <w:r>
          <w:rPr>
            <w:sz w:val="18"/>
            <w:szCs w:val="20"/>
          </w:rPr>
          <w:t xml:space="preserve"> Annual Operational Plan Progress Report</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76638145" w14:textId="77777777" w:rsidR="005109F7" w:rsidRDefault="005109F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112662058"/>
      <w:docPartObj>
        <w:docPartGallery w:val="Page Numbers (Bottom of Page)"/>
        <w:docPartUnique/>
      </w:docPartObj>
    </w:sdtPr>
    <w:sdtEndPr>
      <w:rPr>
        <w:noProof/>
      </w:rPr>
    </w:sdtEndPr>
    <w:sdtContent>
      <w:p w14:paraId="4CD94770" w14:textId="3158E017" w:rsidR="005109F7" w:rsidRPr="00B24360" w:rsidRDefault="005109F7" w:rsidP="00A85CB3">
        <w:pPr>
          <w:pStyle w:val="Footer"/>
          <w:rPr>
            <w:sz w:val="18"/>
            <w:szCs w:val="20"/>
          </w:rPr>
        </w:pPr>
        <w:r>
          <w:rPr>
            <w:sz w:val="18"/>
            <w:szCs w:val="20"/>
          </w:rPr>
          <w:t>Businesses</w:t>
        </w:r>
        <w:r w:rsidRPr="00B24360">
          <w:rPr>
            <w:sz w:val="18"/>
            <w:szCs w:val="20"/>
          </w:rPr>
          <w:tab/>
          <w:t xml:space="preserve">Section </w:t>
        </w:r>
        <w:r>
          <w:rPr>
            <w:sz w:val="18"/>
            <w:szCs w:val="20"/>
          </w:rPr>
          <w:t>2</w:t>
        </w:r>
        <w:r w:rsidRPr="00B24360">
          <w:rPr>
            <w:sz w:val="18"/>
            <w:szCs w:val="20"/>
          </w:rPr>
          <w:t xml:space="preserve"> –</w:t>
        </w:r>
        <w:r>
          <w:rPr>
            <w:sz w:val="18"/>
            <w:szCs w:val="20"/>
          </w:rPr>
          <w:t xml:space="preserve"> Annual Operational Plan Progress Report</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469683A1" w14:textId="77777777" w:rsidR="005109F7" w:rsidRDefault="005109F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013035236"/>
      <w:docPartObj>
        <w:docPartGallery w:val="Page Numbers (Bottom of Page)"/>
        <w:docPartUnique/>
      </w:docPartObj>
    </w:sdtPr>
    <w:sdtEndPr>
      <w:rPr>
        <w:noProof/>
      </w:rPr>
    </w:sdtEndPr>
    <w:sdtContent>
      <w:p w14:paraId="3C65783E" w14:textId="398A5CC0" w:rsidR="005109F7" w:rsidRPr="00B24360" w:rsidRDefault="005109F7" w:rsidP="00A85CB3">
        <w:pPr>
          <w:pStyle w:val="Footer"/>
          <w:rPr>
            <w:sz w:val="18"/>
            <w:szCs w:val="20"/>
          </w:rPr>
        </w:pPr>
        <w:r>
          <w:rPr>
            <w:sz w:val="18"/>
            <w:szCs w:val="20"/>
          </w:rPr>
          <w:tab/>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1BC2A630" w14:textId="77777777" w:rsidR="005109F7" w:rsidRDefault="005109F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595865102"/>
      <w:docPartObj>
        <w:docPartGallery w:val="Page Numbers (Bottom of Page)"/>
        <w:docPartUnique/>
      </w:docPartObj>
    </w:sdtPr>
    <w:sdtEndPr>
      <w:rPr>
        <w:noProof/>
      </w:rPr>
    </w:sdtEndPr>
    <w:sdtContent>
      <w:p w14:paraId="481B25D8" w14:textId="15399596" w:rsidR="005109F7" w:rsidRPr="00B24360" w:rsidRDefault="005109F7" w:rsidP="00A85CB3">
        <w:pPr>
          <w:pStyle w:val="Footer"/>
          <w:rPr>
            <w:sz w:val="18"/>
            <w:szCs w:val="20"/>
          </w:rPr>
        </w:pPr>
        <w:r>
          <w:rPr>
            <w:sz w:val="18"/>
            <w:szCs w:val="20"/>
          </w:rPr>
          <w:t>Transport for Brisbane</w:t>
        </w:r>
        <w:r w:rsidRPr="00B24360">
          <w:rPr>
            <w:sz w:val="18"/>
            <w:szCs w:val="20"/>
          </w:rPr>
          <w:tab/>
          <w:t xml:space="preserve">Section </w:t>
        </w:r>
        <w:r>
          <w:rPr>
            <w:sz w:val="18"/>
            <w:szCs w:val="20"/>
          </w:rPr>
          <w:t>3</w:t>
        </w:r>
        <w:r w:rsidRPr="00B24360">
          <w:rPr>
            <w:sz w:val="18"/>
            <w:szCs w:val="20"/>
          </w:rPr>
          <w:t xml:space="preserve"> –</w:t>
        </w:r>
        <w:r>
          <w:rPr>
            <w:sz w:val="18"/>
            <w:szCs w:val="20"/>
          </w:rPr>
          <w:t xml:space="preserve"> Commercialised Businesses</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5487AF3A" w14:textId="77777777" w:rsidR="005109F7" w:rsidRDefault="005109F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50460096"/>
      <w:docPartObj>
        <w:docPartGallery w:val="Page Numbers (Bottom of Page)"/>
        <w:docPartUnique/>
      </w:docPartObj>
    </w:sdtPr>
    <w:sdtEndPr>
      <w:rPr>
        <w:noProof/>
      </w:rPr>
    </w:sdtEndPr>
    <w:sdtContent>
      <w:p w14:paraId="3E023983" w14:textId="25BA4714" w:rsidR="005109F7" w:rsidRPr="00B24360" w:rsidRDefault="005109F7" w:rsidP="00A85CB3">
        <w:pPr>
          <w:pStyle w:val="Footer"/>
          <w:rPr>
            <w:sz w:val="18"/>
            <w:szCs w:val="20"/>
          </w:rPr>
        </w:pPr>
        <w:r>
          <w:rPr>
            <w:sz w:val="18"/>
            <w:szCs w:val="20"/>
          </w:rPr>
          <w:t>City Parking</w:t>
        </w:r>
        <w:r w:rsidRPr="00B24360">
          <w:rPr>
            <w:sz w:val="18"/>
            <w:szCs w:val="20"/>
          </w:rPr>
          <w:tab/>
          <w:t xml:space="preserve">Section </w:t>
        </w:r>
        <w:r>
          <w:rPr>
            <w:sz w:val="18"/>
            <w:szCs w:val="20"/>
          </w:rPr>
          <w:t>3</w:t>
        </w:r>
        <w:r w:rsidRPr="00B24360">
          <w:rPr>
            <w:sz w:val="18"/>
            <w:szCs w:val="20"/>
          </w:rPr>
          <w:t xml:space="preserve"> –</w:t>
        </w:r>
        <w:r>
          <w:rPr>
            <w:sz w:val="18"/>
            <w:szCs w:val="20"/>
          </w:rPr>
          <w:t xml:space="preserve"> Commercialised Businesses</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76652304" w14:textId="77777777" w:rsidR="005109F7" w:rsidRDefault="00510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752B" w14:textId="4EA91FBA" w:rsidR="00584704" w:rsidRDefault="00D12CE7">
    <w:pPr>
      <w:pStyle w:val="Footer"/>
    </w:pPr>
    <w:r>
      <w:rPr>
        <w:noProof/>
      </w:rPr>
      <mc:AlternateContent>
        <mc:Choice Requires="wps">
          <w:drawing>
            <wp:inline distT="0" distB="0" distL="0" distR="0" wp14:anchorId="493304A7" wp14:editId="0F15957C">
              <wp:extent cx="443865" cy="443865"/>
              <wp:effectExtent l="0" t="0" r="14605" b="16510"/>
              <wp:docPr id="3" name="Text Box 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B3A7F4" w14:textId="593F2A02" w:rsidR="00D12CE7" w:rsidRPr="00D12CE7" w:rsidRDefault="00D12CE7">
                          <w:pPr>
                            <w:rPr>
                              <w:rFonts w:ascii="Calibri" w:eastAsia="Calibri" w:hAnsi="Calibri" w:cs="Calibri"/>
                              <w:noProof/>
                              <w:color w:val="FF0000"/>
                              <w:sz w:val="20"/>
                              <w:szCs w:val="20"/>
                            </w:rPr>
                          </w:pPr>
                          <w:r w:rsidRPr="00D12CE7">
                            <w:rPr>
                              <w:rFonts w:ascii="Calibri" w:eastAsia="Calibri" w:hAnsi="Calibri" w:cs="Calibri"/>
                              <w:noProof/>
                              <w:color w:val="FF0000"/>
                              <w:sz w:val="2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93304A7" id="_x0000_t202" coordsize="21600,21600" o:spt="202" path="m,l,21600r21600,l21600,xe">
              <v:stroke joinstyle="miter"/>
              <v:path gradientshapeok="t" o:connecttype="rect"/>
            </v:shapetype>
            <v:shape id="Text Box 5" o:spid="_x0000_s1027"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7AB3A7F4" w14:textId="593F2A02" w:rsidR="00D12CE7" w:rsidRPr="00D12CE7" w:rsidRDefault="00D12CE7">
                    <w:pPr>
                      <w:rPr>
                        <w:rFonts w:ascii="Calibri" w:eastAsia="Calibri" w:hAnsi="Calibri" w:cs="Calibri"/>
                        <w:noProof/>
                        <w:color w:val="FF0000"/>
                        <w:sz w:val="20"/>
                        <w:szCs w:val="20"/>
                      </w:rPr>
                    </w:pPr>
                    <w:r w:rsidRPr="00D12CE7">
                      <w:rPr>
                        <w:rFonts w:ascii="Calibri" w:eastAsia="Calibri" w:hAnsi="Calibri" w:cs="Calibri"/>
                        <w:noProof/>
                        <w:color w:val="FF0000"/>
                        <w:sz w:val="20"/>
                        <w:szCs w:val="20"/>
                      </w:rPr>
                      <w:t>SECURITY LABEL: 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D565" w14:textId="34489668" w:rsidR="00584704" w:rsidRDefault="00D12CE7">
    <w:pPr>
      <w:pStyle w:val="Footer"/>
    </w:pPr>
    <w:r>
      <w:rPr>
        <w:noProof/>
      </w:rPr>
      <mc:AlternateContent>
        <mc:Choice Requires="wps">
          <w:drawing>
            <wp:inline distT="0" distB="0" distL="0" distR="0" wp14:anchorId="5FBED7F7" wp14:editId="0E4EB244">
              <wp:extent cx="443865" cy="443865"/>
              <wp:effectExtent l="0" t="0" r="14605" b="16510"/>
              <wp:docPr id="13" name="Text Box 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728D1A" w14:textId="0C9C24DF" w:rsidR="00D12CE7" w:rsidRPr="00D12CE7" w:rsidRDefault="00D12CE7">
                          <w:pPr>
                            <w:rPr>
                              <w:rFonts w:ascii="Calibri" w:eastAsia="Calibri" w:hAnsi="Calibri" w:cs="Calibri"/>
                              <w:noProof/>
                              <w:color w:val="FF0000"/>
                              <w:sz w:val="20"/>
                              <w:szCs w:val="20"/>
                            </w:rPr>
                          </w:pPr>
                          <w:r w:rsidRPr="00D12CE7">
                            <w:rPr>
                              <w:rFonts w:ascii="Calibri" w:eastAsia="Calibri" w:hAnsi="Calibri" w:cs="Calibri"/>
                              <w:noProof/>
                              <w:color w:val="FF0000"/>
                              <w:sz w:val="2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5FBED7F7" id="_x0000_t202" coordsize="21600,21600" o:spt="202" path="m,l,21600r21600,l21600,xe">
              <v:stroke joinstyle="miter"/>
              <v:path gradientshapeok="t" o:connecttype="rect"/>
            </v:shapetype>
            <v:shape id="Text Box 8" o:spid="_x0000_s1028"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73728D1A" w14:textId="0C9C24DF" w:rsidR="00D12CE7" w:rsidRPr="00D12CE7" w:rsidRDefault="00D12CE7">
                    <w:pPr>
                      <w:rPr>
                        <w:rFonts w:ascii="Calibri" w:eastAsia="Calibri" w:hAnsi="Calibri" w:cs="Calibri"/>
                        <w:noProof/>
                        <w:color w:val="FF0000"/>
                        <w:sz w:val="20"/>
                        <w:szCs w:val="20"/>
                      </w:rPr>
                    </w:pPr>
                    <w:r w:rsidRPr="00D12CE7">
                      <w:rPr>
                        <w:rFonts w:ascii="Calibri" w:eastAsia="Calibri" w:hAnsi="Calibri" w:cs="Calibri"/>
                        <w:noProof/>
                        <w:color w:val="FF0000"/>
                        <w:sz w:val="20"/>
                        <w:szCs w:val="20"/>
                      </w:rPr>
                      <w:t>SECURITY LABEL: OFFICIAL</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496371"/>
      <w:docPartObj>
        <w:docPartGallery w:val="Page Numbers (Bottom of Page)"/>
        <w:docPartUnique/>
      </w:docPartObj>
    </w:sdtPr>
    <w:sdtEndPr>
      <w:rPr>
        <w:noProof/>
        <w:sz w:val="18"/>
        <w:szCs w:val="18"/>
      </w:rPr>
    </w:sdtEndPr>
    <w:sdtContent>
      <w:p w14:paraId="07C8A51E" w14:textId="58F57677" w:rsidR="00A85CB3" w:rsidRPr="00A85CB3" w:rsidRDefault="00A85CB3">
        <w:pPr>
          <w:pStyle w:val="Footer"/>
          <w:jc w:val="right"/>
          <w:rPr>
            <w:sz w:val="18"/>
            <w:szCs w:val="18"/>
          </w:rPr>
        </w:pPr>
        <w:r w:rsidRPr="00A85CB3">
          <w:rPr>
            <w:sz w:val="18"/>
            <w:szCs w:val="18"/>
          </w:rPr>
          <w:fldChar w:fldCharType="begin"/>
        </w:r>
        <w:r w:rsidRPr="00A85CB3">
          <w:rPr>
            <w:sz w:val="18"/>
            <w:szCs w:val="18"/>
          </w:rPr>
          <w:instrText xml:space="preserve"> PAGE   \* MERGEFORMAT </w:instrText>
        </w:r>
        <w:r w:rsidRPr="00A85CB3">
          <w:rPr>
            <w:sz w:val="18"/>
            <w:szCs w:val="18"/>
          </w:rPr>
          <w:fldChar w:fldCharType="separate"/>
        </w:r>
        <w:r w:rsidRPr="00A85CB3">
          <w:rPr>
            <w:noProof/>
            <w:sz w:val="18"/>
            <w:szCs w:val="18"/>
          </w:rPr>
          <w:t>2</w:t>
        </w:r>
        <w:r w:rsidRPr="00A85CB3">
          <w:rPr>
            <w:noProof/>
            <w:sz w:val="18"/>
            <w:szCs w:val="18"/>
          </w:rPr>
          <w:fldChar w:fldCharType="end"/>
        </w:r>
      </w:p>
    </w:sdtContent>
  </w:sdt>
  <w:p w14:paraId="06485975" w14:textId="5AD0453A" w:rsidR="00584704" w:rsidRDefault="005847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4C00" w14:textId="4FFDD570" w:rsidR="00584704" w:rsidRDefault="00D12CE7">
    <w:pPr>
      <w:pStyle w:val="Footer"/>
    </w:pPr>
    <w:r>
      <w:rPr>
        <w:noProof/>
      </w:rPr>
      <mc:AlternateContent>
        <mc:Choice Requires="wps">
          <w:drawing>
            <wp:inline distT="0" distB="0" distL="0" distR="0" wp14:anchorId="57F20DB7" wp14:editId="7C4AC28D">
              <wp:extent cx="443865" cy="443865"/>
              <wp:effectExtent l="0" t="0" r="14605" b="16510"/>
              <wp:docPr id="9" name="Text Box 1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7860E4" w14:textId="2E29CAF8" w:rsidR="00D12CE7" w:rsidRPr="00D12CE7" w:rsidRDefault="00D12CE7">
                          <w:pPr>
                            <w:rPr>
                              <w:rFonts w:ascii="Calibri" w:eastAsia="Calibri" w:hAnsi="Calibri" w:cs="Calibri"/>
                              <w:noProof/>
                              <w:color w:val="FF0000"/>
                              <w:sz w:val="20"/>
                              <w:szCs w:val="20"/>
                            </w:rPr>
                          </w:pPr>
                          <w:r w:rsidRPr="00D12CE7">
                            <w:rPr>
                              <w:rFonts w:ascii="Calibri" w:eastAsia="Calibri" w:hAnsi="Calibri" w:cs="Calibri"/>
                              <w:noProof/>
                              <w:color w:val="FF0000"/>
                              <w:sz w:val="2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57F20DB7" id="_x0000_t202" coordsize="21600,21600" o:spt="202" path="m,l,21600r21600,l21600,xe">
              <v:stroke joinstyle="miter"/>
              <v:path gradientshapeok="t" o:connecttype="rect"/>
            </v:shapetype>
            <v:shape id="Text Box 10" o:spid="_x0000_s1029"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Dtj9iYFAgAAFwQAAA4AAAAAAAAAAAAA&#10;AAAALgIAAGRycy9lMm9Eb2MueG1sUEsBAi0AFAAGAAgAAAAhAPtUaF7WAAAAAwEAAA8AAAAAAAAA&#10;AAAAAAAAXwQAAGRycy9kb3ducmV2LnhtbFBLBQYAAAAABAAEAPMAAABiBQAAAAA=&#10;" filled="f" stroked="f">
              <v:textbox style="mso-fit-shape-to-text:t" inset="0,0,0,0">
                <w:txbxContent>
                  <w:p w14:paraId="1D7860E4" w14:textId="2E29CAF8" w:rsidR="00D12CE7" w:rsidRPr="00D12CE7" w:rsidRDefault="00D12CE7">
                    <w:pPr>
                      <w:rPr>
                        <w:rFonts w:ascii="Calibri" w:eastAsia="Calibri" w:hAnsi="Calibri" w:cs="Calibri"/>
                        <w:noProof/>
                        <w:color w:val="FF0000"/>
                        <w:sz w:val="20"/>
                        <w:szCs w:val="20"/>
                      </w:rPr>
                    </w:pPr>
                    <w:r w:rsidRPr="00D12CE7">
                      <w:rPr>
                        <w:rFonts w:ascii="Calibri" w:eastAsia="Calibri" w:hAnsi="Calibri" w:cs="Calibri"/>
                        <w:noProof/>
                        <w:color w:val="FF0000"/>
                        <w:sz w:val="20"/>
                        <w:szCs w:val="20"/>
                      </w:rPr>
                      <w:t>SECURITY LABEL: OFFICIAL</w:t>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664632841"/>
      <w:docPartObj>
        <w:docPartGallery w:val="Page Numbers (Bottom of Page)"/>
        <w:docPartUnique/>
      </w:docPartObj>
    </w:sdtPr>
    <w:sdtEndPr>
      <w:rPr>
        <w:noProof/>
      </w:rPr>
    </w:sdtEndPr>
    <w:sdtContent>
      <w:sdt>
        <w:sdtPr>
          <w:rPr>
            <w:sz w:val="18"/>
            <w:szCs w:val="20"/>
          </w:rPr>
          <w:id w:val="1460068255"/>
          <w:docPartObj>
            <w:docPartGallery w:val="Page Numbers (Bottom of Page)"/>
            <w:docPartUnique/>
          </w:docPartObj>
        </w:sdtPr>
        <w:sdtEndPr>
          <w:rPr>
            <w:noProof/>
          </w:rPr>
        </w:sdtEndPr>
        <w:sdtContent>
          <w:p w14:paraId="1FDF6A9F" w14:textId="0471EDAE" w:rsidR="00516011" w:rsidRDefault="00516011" w:rsidP="00516011">
            <w:pPr>
              <w:pStyle w:val="Footer"/>
              <w:rPr>
                <w:noProof/>
                <w:sz w:val="18"/>
                <w:szCs w:val="20"/>
              </w:rPr>
            </w:pPr>
            <w:r w:rsidRPr="00B24360">
              <w:rPr>
                <w:sz w:val="18"/>
                <w:szCs w:val="20"/>
              </w:rPr>
              <w:tab/>
              <w:t xml:space="preserve">Section </w:t>
            </w:r>
            <w:r>
              <w:rPr>
                <w:sz w:val="18"/>
                <w:szCs w:val="20"/>
              </w:rPr>
              <w:t>1</w:t>
            </w:r>
            <w:r w:rsidRPr="00B24360">
              <w:rPr>
                <w:sz w:val="18"/>
                <w:szCs w:val="20"/>
              </w:rPr>
              <w:t xml:space="preserve"> –</w:t>
            </w:r>
            <w:r>
              <w:rPr>
                <w:sz w:val="18"/>
                <w:szCs w:val="20"/>
              </w:rPr>
              <w:t xml:space="preserve"> Quarterly Financial Report</w:t>
            </w:r>
            <w:r>
              <w:rPr>
                <w:sz w:val="18"/>
                <w:szCs w:val="20"/>
              </w:rPr>
              <w:tab/>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Pr>
                <w:sz w:val="18"/>
                <w:szCs w:val="20"/>
              </w:rPr>
              <w:t>14</w:t>
            </w:r>
            <w:r w:rsidRPr="00B24360">
              <w:rPr>
                <w:noProof/>
                <w:sz w:val="18"/>
                <w:szCs w:val="20"/>
              </w:rPr>
              <w:fldChar w:fldCharType="end"/>
            </w:r>
          </w:p>
        </w:sdtContent>
      </w:sdt>
      <w:p w14:paraId="4AD2CEBD" w14:textId="0440B1FA" w:rsidR="005D266B" w:rsidRDefault="00612DE7" w:rsidP="00516011">
        <w:pPr>
          <w:pStyle w:val="Footer"/>
          <w:jc w:val="right"/>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801152877"/>
      <w:docPartObj>
        <w:docPartGallery w:val="Page Numbers (Bottom of Page)"/>
        <w:docPartUnique/>
      </w:docPartObj>
    </w:sdtPr>
    <w:sdtEndPr>
      <w:rPr>
        <w:noProof/>
      </w:rPr>
    </w:sdtEndPr>
    <w:sdtContent>
      <w:p w14:paraId="1D3F7CD7" w14:textId="364B4DF1" w:rsidR="00B24360" w:rsidRPr="00B24360" w:rsidRDefault="00B24360">
        <w:pPr>
          <w:pStyle w:val="Footer"/>
          <w:jc w:val="right"/>
          <w:rPr>
            <w:sz w:val="18"/>
            <w:szCs w:val="20"/>
          </w:rPr>
        </w:pPr>
        <w:r w:rsidRPr="00B24360">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27A51734" w14:textId="77777777" w:rsidR="00B24360" w:rsidRDefault="00B243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49972804"/>
      <w:docPartObj>
        <w:docPartGallery w:val="Page Numbers (Bottom of Page)"/>
        <w:docPartUnique/>
      </w:docPartObj>
    </w:sdtPr>
    <w:sdtEndPr>
      <w:rPr>
        <w:noProof/>
      </w:rPr>
    </w:sdtEndPr>
    <w:sdtContent>
      <w:p w14:paraId="1C1F1F5D" w14:textId="68973CDE" w:rsidR="00A85CB3" w:rsidRPr="00B24360" w:rsidRDefault="00A85CB3" w:rsidP="00A85CB3">
        <w:pPr>
          <w:pStyle w:val="Footer"/>
          <w:rPr>
            <w:sz w:val="18"/>
            <w:szCs w:val="20"/>
          </w:rPr>
        </w:pPr>
        <w:r>
          <w:rPr>
            <w:sz w:val="18"/>
            <w:szCs w:val="20"/>
          </w:rPr>
          <w:t xml:space="preserve">Program </w:t>
        </w:r>
        <w:r w:rsidR="007D5ED4">
          <w:rPr>
            <w:sz w:val="18"/>
            <w:szCs w:val="20"/>
          </w:rPr>
          <w:t>1</w:t>
        </w:r>
        <w:r w:rsidRPr="00B24360">
          <w:rPr>
            <w:sz w:val="18"/>
            <w:szCs w:val="20"/>
          </w:rPr>
          <w:tab/>
          <w:t xml:space="preserve">Section </w:t>
        </w:r>
        <w:r>
          <w:rPr>
            <w:sz w:val="18"/>
            <w:szCs w:val="20"/>
          </w:rPr>
          <w:t>2</w:t>
        </w:r>
        <w:r w:rsidRPr="00B24360">
          <w:rPr>
            <w:sz w:val="18"/>
            <w:szCs w:val="20"/>
          </w:rPr>
          <w:t xml:space="preserve"> –</w:t>
        </w:r>
        <w:r>
          <w:rPr>
            <w:sz w:val="18"/>
            <w:szCs w:val="20"/>
          </w:rPr>
          <w:t xml:space="preserve"> Annual Operational Plan Progress Report</w:t>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7102F4DF" w14:textId="77777777" w:rsidR="00A85CB3" w:rsidRDefault="00A85CB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172070303"/>
      <w:docPartObj>
        <w:docPartGallery w:val="Page Numbers (Bottom of Page)"/>
        <w:docPartUnique/>
      </w:docPartObj>
    </w:sdtPr>
    <w:sdtEndPr>
      <w:rPr>
        <w:noProof/>
      </w:rPr>
    </w:sdtEndPr>
    <w:sdtContent>
      <w:p w14:paraId="576AC21D" w14:textId="43FDFAD8" w:rsidR="007D5ED4" w:rsidRPr="00B24360" w:rsidRDefault="007D5ED4" w:rsidP="00A85CB3">
        <w:pPr>
          <w:pStyle w:val="Footer"/>
          <w:rPr>
            <w:sz w:val="18"/>
            <w:szCs w:val="20"/>
          </w:rPr>
        </w:pPr>
        <w:r>
          <w:rPr>
            <w:sz w:val="18"/>
            <w:szCs w:val="20"/>
          </w:rPr>
          <w:t>Program 2</w:t>
        </w:r>
        <w:r w:rsidRPr="00B24360">
          <w:rPr>
            <w:sz w:val="18"/>
            <w:szCs w:val="20"/>
          </w:rPr>
          <w:tab/>
          <w:t xml:space="preserve">Section </w:t>
        </w:r>
        <w:r>
          <w:rPr>
            <w:sz w:val="18"/>
            <w:szCs w:val="20"/>
          </w:rPr>
          <w:t>2</w:t>
        </w:r>
        <w:r w:rsidRPr="00B24360">
          <w:rPr>
            <w:sz w:val="18"/>
            <w:szCs w:val="20"/>
          </w:rPr>
          <w:t xml:space="preserve"> –</w:t>
        </w:r>
        <w:r>
          <w:rPr>
            <w:sz w:val="18"/>
            <w:szCs w:val="20"/>
          </w:rPr>
          <w:t xml:space="preserve"> Annual Operational Plan Progress Report</w:t>
        </w:r>
        <w:r>
          <w:rPr>
            <w:sz w:val="18"/>
            <w:szCs w:val="20"/>
          </w:rPr>
          <w:tab/>
        </w:r>
        <w:r w:rsidRPr="00B24360">
          <w:rPr>
            <w:sz w:val="18"/>
            <w:szCs w:val="20"/>
          </w:rPr>
          <w:fldChar w:fldCharType="begin"/>
        </w:r>
        <w:r w:rsidRPr="00B24360">
          <w:rPr>
            <w:sz w:val="18"/>
            <w:szCs w:val="20"/>
          </w:rPr>
          <w:instrText xml:space="preserve"> PAGE   \* MERGEFORMAT </w:instrText>
        </w:r>
        <w:r w:rsidRPr="00B24360">
          <w:rPr>
            <w:sz w:val="18"/>
            <w:szCs w:val="20"/>
          </w:rPr>
          <w:fldChar w:fldCharType="separate"/>
        </w:r>
        <w:r w:rsidRPr="00B24360">
          <w:rPr>
            <w:noProof/>
            <w:sz w:val="18"/>
            <w:szCs w:val="20"/>
          </w:rPr>
          <w:t>2</w:t>
        </w:r>
        <w:r w:rsidRPr="00B24360">
          <w:rPr>
            <w:noProof/>
            <w:sz w:val="18"/>
            <w:szCs w:val="20"/>
          </w:rPr>
          <w:fldChar w:fldCharType="end"/>
        </w:r>
      </w:p>
    </w:sdtContent>
  </w:sdt>
  <w:p w14:paraId="35A5CA1F" w14:textId="77777777" w:rsidR="007D5ED4" w:rsidRDefault="007D5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4C40" w14:textId="77777777" w:rsidR="009B0E7C" w:rsidRDefault="009B0E7C" w:rsidP="004C0FC6">
      <w:r>
        <w:separator/>
      </w:r>
    </w:p>
  </w:footnote>
  <w:footnote w:type="continuationSeparator" w:id="0">
    <w:p w14:paraId="3E7662A5" w14:textId="77777777" w:rsidR="009B0E7C" w:rsidRDefault="009B0E7C" w:rsidP="004C0FC6">
      <w:r>
        <w:continuationSeparator/>
      </w:r>
    </w:p>
  </w:footnote>
  <w:footnote w:type="continuationNotice" w:id="1">
    <w:p w14:paraId="1B5D5E6B" w14:textId="77777777" w:rsidR="009B0E7C" w:rsidRDefault="009B0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3C50" w14:textId="64FA6ED4" w:rsidR="002C05BC" w:rsidRDefault="00612DE7">
    <w:pPr>
      <w:pStyle w:val="Header"/>
    </w:pPr>
    <w:r>
      <w:rPr>
        <w:noProof/>
        <w:lang w:val="en-AU" w:eastAsia="en-AU"/>
      </w:rPr>
      <w:pict w14:anchorId="767AB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848386" o:spid="_x0000_s2050" type="#_x0000_t75" style="position:absolute;margin-left:0;margin-top:0;width:595.2pt;height:841.9pt;z-index:-251658239;mso-position-horizontal:center;mso-position-horizontal-relative:margin;mso-position-vertical:center;mso-position-vertical-relative:margin" o:allowincell="f">
          <v:imagedata r:id="rId1" o:title="Corp Comms A4 Portrait Centred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9D22" w14:textId="558C2B0E" w:rsidR="004C0FC6" w:rsidRPr="004C0FC6" w:rsidRDefault="00612DE7" w:rsidP="004C0FC6">
    <w:pPr>
      <w:pStyle w:val="Header"/>
    </w:pPr>
    <w:r>
      <w:rPr>
        <w:noProof/>
        <w:lang w:val="en-AU" w:eastAsia="en-AU"/>
      </w:rPr>
      <w:pict w14:anchorId="31A36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848387" o:spid="_x0000_s2051" type="#_x0000_t75" style="position:absolute;margin-left:0;margin-top:0;width:595.2pt;height:841.9pt;z-index:-251658238;mso-position-horizontal:center;mso-position-horizontal-relative:margin;mso-position-vertical:center;mso-position-vertical-relative:margin" o:allowincell="f">
          <v:imagedata r:id="rId1" o:title="Corp Comms A4 Portrait Centred 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9226" w14:textId="1FECE50B" w:rsidR="002C05BC" w:rsidRDefault="00612DE7">
    <w:pPr>
      <w:pStyle w:val="Header"/>
    </w:pPr>
    <w:r>
      <w:rPr>
        <w:noProof/>
        <w:lang w:val="en-AU" w:eastAsia="en-AU"/>
      </w:rPr>
      <w:pict w14:anchorId="5E1BA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848385" o:spid="_x0000_s2049" type="#_x0000_t75" style="position:absolute;margin-left:0;margin-top:0;width:595.2pt;height:841.9pt;z-index:-251658240;mso-position-horizontal:center;mso-position-horizontal-relative:margin;mso-position-vertical:center;mso-position-vertical-relative:margin" o:allowincell="f">
          <v:imagedata r:id="rId1" o:title="Corp Comms A4 Portrait Centred 4"/>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C70C" w14:textId="650E40F4" w:rsidR="00386B12" w:rsidRPr="004C0FC6" w:rsidRDefault="00386B12" w:rsidP="004C0F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01D4" w14:textId="77777777" w:rsidR="005D266B" w:rsidRPr="004C0FC6" w:rsidRDefault="005D266B" w:rsidP="004C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083"/>
    <w:multiLevelType w:val="hybridMultilevel"/>
    <w:tmpl w:val="BDAA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C1740"/>
    <w:multiLevelType w:val="hybridMultilevel"/>
    <w:tmpl w:val="3DA42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168DB"/>
    <w:multiLevelType w:val="hybridMultilevel"/>
    <w:tmpl w:val="CCE4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D86E27"/>
    <w:multiLevelType w:val="hybridMultilevel"/>
    <w:tmpl w:val="39DAA7CE"/>
    <w:lvl w:ilvl="0" w:tplc="2110B990">
      <w:start w:val="1"/>
      <w:numFmt w:val="bullet"/>
      <w:lvlText w:val=""/>
      <w:lvlJc w:val="left"/>
      <w:pPr>
        <w:ind w:left="720" w:hanging="363"/>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302B2351"/>
    <w:multiLevelType w:val="hybridMultilevel"/>
    <w:tmpl w:val="195A0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9002F"/>
    <w:multiLevelType w:val="hybridMultilevel"/>
    <w:tmpl w:val="FFFFFFFF"/>
    <w:lvl w:ilvl="0" w:tplc="D18CA4CC">
      <w:start w:val="1"/>
      <w:numFmt w:val="bullet"/>
      <w:lvlText w:val=""/>
      <w:lvlJc w:val="left"/>
      <w:pPr>
        <w:ind w:left="360" w:hanging="360"/>
      </w:pPr>
      <w:rPr>
        <w:rFonts w:ascii="Symbol" w:hAnsi="Symbol" w:hint="default"/>
      </w:rPr>
    </w:lvl>
    <w:lvl w:ilvl="1" w:tplc="C770BCAA">
      <w:start w:val="1"/>
      <w:numFmt w:val="bullet"/>
      <w:lvlText w:val="o"/>
      <w:lvlJc w:val="left"/>
      <w:pPr>
        <w:ind w:left="1080" w:hanging="360"/>
      </w:pPr>
      <w:rPr>
        <w:rFonts w:ascii="Courier New" w:hAnsi="Courier New" w:hint="default"/>
      </w:rPr>
    </w:lvl>
    <w:lvl w:ilvl="2" w:tplc="77FA2430">
      <w:start w:val="1"/>
      <w:numFmt w:val="bullet"/>
      <w:lvlText w:val=""/>
      <w:lvlJc w:val="left"/>
      <w:pPr>
        <w:ind w:left="1800" w:hanging="360"/>
      </w:pPr>
      <w:rPr>
        <w:rFonts w:ascii="Wingdings" w:hAnsi="Wingdings" w:hint="default"/>
      </w:rPr>
    </w:lvl>
    <w:lvl w:ilvl="3" w:tplc="C7D4AB48">
      <w:start w:val="1"/>
      <w:numFmt w:val="bullet"/>
      <w:lvlText w:val=""/>
      <w:lvlJc w:val="left"/>
      <w:pPr>
        <w:ind w:left="2520" w:hanging="360"/>
      </w:pPr>
      <w:rPr>
        <w:rFonts w:ascii="Symbol" w:hAnsi="Symbol" w:hint="default"/>
      </w:rPr>
    </w:lvl>
    <w:lvl w:ilvl="4" w:tplc="88300FE8">
      <w:start w:val="1"/>
      <w:numFmt w:val="bullet"/>
      <w:lvlText w:val="o"/>
      <w:lvlJc w:val="left"/>
      <w:pPr>
        <w:ind w:left="3240" w:hanging="360"/>
      </w:pPr>
      <w:rPr>
        <w:rFonts w:ascii="Courier New" w:hAnsi="Courier New" w:hint="default"/>
      </w:rPr>
    </w:lvl>
    <w:lvl w:ilvl="5" w:tplc="8FA8856A">
      <w:start w:val="1"/>
      <w:numFmt w:val="bullet"/>
      <w:lvlText w:val=""/>
      <w:lvlJc w:val="left"/>
      <w:pPr>
        <w:ind w:left="3960" w:hanging="360"/>
      </w:pPr>
      <w:rPr>
        <w:rFonts w:ascii="Wingdings" w:hAnsi="Wingdings" w:hint="default"/>
      </w:rPr>
    </w:lvl>
    <w:lvl w:ilvl="6" w:tplc="DB5AA7DC">
      <w:start w:val="1"/>
      <w:numFmt w:val="bullet"/>
      <w:lvlText w:val=""/>
      <w:lvlJc w:val="left"/>
      <w:pPr>
        <w:ind w:left="4680" w:hanging="360"/>
      </w:pPr>
      <w:rPr>
        <w:rFonts w:ascii="Symbol" w:hAnsi="Symbol" w:hint="default"/>
      </w:rPr>
    </w:lvl>
    <w:lvl w:ilvl="7" w:tplc="333E4F08">
      <w:start w:val="1"/>
      <w:numFmt w:val="bullet"/>
      <w:lvlText w:val="o"/>
      <w:lvlJc w:val="left"/>
      <w:pPr>
        <w:ind w:left="5400" w:hanging="360"/>
      </w:pPr>
      <w:rPr>
        <w:rFonts w:ascii="Courier New" w:hAnsi="Courier New" w:hint="default"/>
      </w:rPr>
    </w:lvl>
    <w:lvl w:ilvl="8" w:tplc="3F7E4EAC">
      <w:start w:val="1"/>
      <w:numFmt w:val="bullet"/>
      <w:lvlText w:val=""/>
      <w:lvlJc w:val="left"/>
      <w:pPr>
        <w:ind w:left="6120" w:hanging="360"/>
      </w:pPr>
      <w:rPr>
        <w:rFonts w:ascii="Wingdings" w:hAnsi="Wingdings" w:hint="default"/>
      </w:rPr>
    </w:lvl>
  </w:abstractNum>
  <w:abstractNum w:abstractNumId="6" w15:restartNumberingAfterBreak="0">
    <w:nsid w:val="4D5878F6"/>
    <w:multiLevelType w:val="hybridMultilevel"/>
    <w:tmpl w:val="72E40C54"/>
    <w:lvl w:ilvl="0" w:tplc="E5A8FB48">
      <w:start w:val="1"/>
      <w:numFmt w:val="bullet"/>
      <w:lvlText w:val=""/>
      <w:lvlJc w:val="left"/>
      <w:pPr>
        <w:ind w:left="357" w:hanging="357"/>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57313C76"/>
    <w:multiLevelType w:val="hybridMultilevel"/>
    <w:tmpl w:val="6F02FE26"/>
    <w:lvl w:ilvl="0" w:tplc="8B188C8E">
      <w:start w:val="1"/>
      <w:numFmt w:val="bullet"/>
      <w:lvlText w:val=""/>
      <w:lvlJc w:val="left"/>
      <w:pPr>
        <w:ind w:left="720" w:hanging="363"/>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8" w15:restartNumberingAfterBreak="0">
    <w:nsid w:val="5BFE523F"/>
    <w:multiLevelType w:val="hybridMultilevel"/>
    <w:tmpl w:val="E3BAD694"/>
    <w:lvl w:ilvl="0" w:tplc="6C7EA206">
      <w:start w:val="1"/>
      <w:numFmt w:val="bullet"/>
      <w:lvlText w:val=""/>
      <w:lvlJc w:val="left"/>
      <w:pPr>
        <w:ind w:left="720" w:hanging="360"/>
      </w:pPr>
      <w:rPr>
        <w:rFonts w:ascii="Symbol" w:hAnsi="Symbol" w:hint="default"/>
      </w:rPr>
    </w:lvl>
    <w:lvl w:ilvl="1" w:tplc="27FC408A">
      <w:start w:val="1"/>
      <w:numFmt w:val="bullet"/>
      <w:lvlText w:val="o"/>
      <w:lvlJc w:val="left"/>
      <w:pPr>
        <w:ind w:left="1440" w:hanging="360"/>
      </w:pPr>
      <w:rPr>
        <w:rFonts w:ascii="Courier New" w:hAnsi="Courier New" w:hint="default"/>
      </w:rPr>
    </w:lvl>
    <w:lvl w:ilvl="2" w:tplc="63C4E304">
      <w:start w:val="1"/>
      <w:numFmt w:val="bullet"/>
      <w:lvlText w:val=""/>
      <w:lvlJc w:val="left"/>
      <w:pPr>
        <w:ind w:left="2160" w:hanging="360"/>
      </w:pPr>
      <w:rPr>
        <w:rFonts w:ascii="Wingdings" w:hAnsi="Wingdings" w:hint="default"/>
      </w:rPr>
    </w:lvl>
    <w:lvl w:ilvl="3" w:tplc="A5EE296C">
      <w:start w:val="1"/>
      <w:numFmt w:val="bullet"/>
      <w:lvlText w:val=""/>
      <w:lvlJc w:val="left"/>
      <w:pPr>
        <w:ind w:left="2880" w:hanging="360"/>
      </w:pPr>
      <w:rPr>
        <w:rFonts w:ascii="Symbol" w:hAnsi="Symbol" w:hint="default"/>
      </w:rPr>
    </w:lvl>
    <w:lvl w:ilvl="4" w:tplc="889065CA">
      <w:start w:val="1"/>
      <w:numFmt w:val="bullet"/>
      <w:lvlText w:val="o"/>
      <w:lvlJc w:val="left"/>
      <w:pPr>
        <w:ind w:left="3600" w:hanging="360"/>
      </w:pPr>
      <w:rPr>
        <w:rFonts w:ascii="Courier New" w:hAnsi="Courier New" w:hint="default"/>
      </w:rPr>
    </w:lvl>
    <w:lvl w:ilvl="5" w:tplc="551813DC">
      <w:start w:val="1"/>
      <w:numFmt w:val="bullet"/>
      <w:lvlText w:val=""/>
      <w:lvlJc w:val="left"/>
      <w:pPr>
        <w:ind w:left="4320" w:hanging="360"/>
      </w:pPr>
      <w:rPr>
        <w:rFonts w:ascii="Wingdings" w:hAnsi="Wingdings" w:hint="default"/>
      </w:rPr>
    </w:lvl>
    <w:lvl w:ilvl="6" w:tplc="62CA61B2">
      <w:start w:val="1"/>
      <w:numFmt w:val="bullet"/>
      <w:lvlText w:val=""/>
      <w:lvlJc w:val="left"/>
      <w:pPr>
        <w:ind w:left="5040" w:hanging="360"/>
      </w:pPr>
      <w:rPr>
        <w:rFonts w:ascii="Symbol" w:hAnsi="Symbol" w:hint="default"/>
      </w:rPr>
    </w:lvl>
    <w:lvl w:ilvl="7" w:tplc="43849FCC">
      <w:start w:val="1"/>
      <w:numFmt w:val="bullet"/>
      <w:lvlText w:val="o"/>
      <w:lvlJc w:val="left"/>
      <w:pPr>
        <w:ind w:left="5760" w:hanging="360"/>
      </w:pPr>
      <w:rPr>
        <w:rFonts w:ascii="Courier New" w:hAnsi="Courier New" w:hint="default"/>
      </w:rPr>
    </w:lvl>
    <w:lvl w:ilvl="8" w:tplc="BD3887C6">
      <w:start w:val="1"/>
      <w:numFmt w:val="bullet"/>
      <w:lvlText w:val=""/>
      <w:lvlJc w:val="left"/>
      <w:pPr>
        <w:ind w:left="6480" w:hanging="360"/>
      </w:pPr>
      <w:rPr>
        <w:rFonts w:ascii="Wingdings" w:hAnsi="Wingdings" w:hint="default"/>
      </w:rPr>
    </w:lvl>
  </w:abstractNum>
  <w:abstractNum w:abstractNumId="9" w15:restartNumberingAfterBreak="0">
    <w:nsid w:val="64A44D83"/>
    <w:multiLevelType w:val="hybridMultilevel"/>
    <w:tmpl w:val="67A80B2A"/>
    <w:lvl w:ilvl="0" w:tplc="8F5EA2F6">
      <w:start w:val="1"/>
      <w:numFmt w:val="bullet"/>
      <w:lvlText w:val=""/>
      <w:lvlJc w:val="left"/>
      <w:pPr>
        <w:ind w:left="720" w:hanging="360"/>
      </w:pPr>
      <w:rPr>
        <w:rFonts w:ascii="Symbol" w:hAnsi="Symbol" w:hint="default"/>
      </w:rPr>
    </w:lvl>
    <w:lvl w:ilvl="1" w:tplc="2F46ED36">
      <w:start w:val="1"/>
      <w:numFmt w:val="bullet"/>
      <w:lvlText w:val="o"/>
      <w:lvlJc w:val="left"/>
      <w:pPr>
        <w:ind w:left="1440" w:hanging="360"/>
      </w:pPr>
      <w:rPr>
        <w:rFonts w:ascii="Courier New" w:hAnsi="Courier New" w:hint="default"/>
      </w:rPr>
    </w:lvl>
    <w:lvl w:ilvl="2" w:tplc="DE529A74">
      <w:start w:val="1"/>
      <w:numFmt w:val="bullet"/>
      <w:lvlText w:val=""/>
      <w:lvlJc w:val="left"/>
      <w:pPr>
        <w:ind w:left="2160" w:hanging="360"/>
      </w:pPr>
      <w:rPr>
        <w:rFonts w:ascii="Wingdings" w:hAnsi="Wingdings" w:hint="default"/>
      </w:rPr>
    </w:lvl>
    <w:lvl w:ilvl="3" w:tplc="F21A9958">
      <w:start w:val="1"/>
      <w:numFmt w:val="bullet"/>
      <w:lvlText w:val=""/>
      <w:lvlJc w:val="left"/>
      <w:pPr>
        <w:ind w:left="2880" w:hanging="360"/>
      </w:pPr>
      <w:rPr>
        <w:rFonts w:ascii="Symbol" w:hAnsi="Symbol" w:hint="default"/>
      </w:rPr>
    </w:lvl>
    <w:lvl w:ilvl="4" w:tplc="409AA0AA">
      <w:start w:val="1"/>
      <w:numFmt w:val="bullet"/>
      <w:lvlText w:val="o"/>
      <w:lvlJc w:val="left"/>
      <w:pPr>
        <w:ind w:left="3600" w:hanging="360"/>
      </w:pPr>
      <w:rPr>
        <w:rFonts w:ascii="Courier New" w:hAnsi="Courier New" w:hint="default"/>
      </w:rPr>
    </w:lvl>
    <w:lvl w:ilvl="5" w:tplc="2F6CB822">
      <w:start w:val="1"/>
      <w:numFmt w:val="bullet"/>
      <w:lvlText w:val=""/>
      <w:lvlJc w:val="left"/>
      <w:pPr>
        <w:ind w:left="4320" w:hanging="360"/>
      </w:pPr>
      <w:rPr>
        <w:rFonts w:ascii="Wingdings" w:hAnsi="Wingdings" w:hint="default"/>
      </w:rPr>
    </w:lvl>
    <w:lvl w:ilvl="6" w:tplc="773A7DB0">
      <w:start w:val="1"/>
      <w:numFmt w:val="bullet"/>
      <w:lvlText w:val=""/>
      <w:lvlJc w:val="left"/>
      <w:pPr>
        <w:ind w:left="5040" w:hanging="360"/>
      </w:pPr>
      <w:rPr>
        <w:rFonts w:ascii="Symbol" w:hAnsi="Symbol" w:hint="default"/>
      </w:rPr>
    </w:lvl>
    <w:lvl w:ilvl="7" w:tplc="713A5C80">
      <w:start w:val="1"/>
      <w:numFmt w:val="bullet"/>
      <w:lvlText w:val="o"/>
      <w:lvlJc w:val="left"/>
      <w:pPr>
        <w:ind w:left="5760" w:hanging="360"/>
      </w:pPr>
      <w:rPr>
        <w:rFonts w:ascii="Courier New" w:hAnsi="Courier New" w:hint="default"/>
      </w:rPr>
    </w:lvl>
    <w:lvl w:ilvl="8" w:tplc="1338AB76">
      <w:start w:val="1"/>
      <w:numFmt w:val="bullet"/>
      <w:lvlText w:val=""/>
      <w:lvlJc w:val="left"/>
      <w:pPr>
        <w:ind w:left="6480" w:hanging="360"/>
      </w:pPr>
      <w:rPr>
        <w:rFonts w:ascii="Wingdings" w:hAnsi="Wingdings" w:hint="default"/>
      </w:rPr>
    </w:lvl>
  </w:abstractNum>
  <w:abstractNum w:abstractNumId="10" w15:restartNumberingAfterBreak="0">
    <w:nsid w:val="65B229B7"/>
    <w:multiLevelType w:val="hybridMultilevel"/>
    <w:tmpl w:val="9BD0F5CC"/>
    <w:lvl w:ilvl="0" w:tplc="CC48A118">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EF4C79"/>
    <w:multiLevelType w:val="hybridMultilevel"/>
    <w:tmpl w:val="1B90A40C"/>
    <w:lvl w:ilvl="0" w:tplc="11DC90E2">
      <w:start w:val="1"/>
      <w:numFmt w:val="bullet"/>
      <w:lvlText w:val=""/>
      <w:lvlJc w:val="left"/>
      <w:pPr>
        <w:ind w:left="720" w:hanging="36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CF70304"/>
    <w:multiLevelType w:val="hybridMultilevel"/>
    <w:tmpl w:val="A08C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4465D9"/>
    <w:multiLevelType w:val="hybridMultilevel"/>
    <w:tmpl w:val="05587490"/>
    <w:lvl w:ilvl="0" w:tplc="CC48A118">
      <w:numFmt w:val="bullet"/>
      <w:lvlText w:val="-"/>
      <w:lvlJc w:val="left"/>
      <w:pPr>
        <w:ind w:left="720" w:hanging="363"/>
      </w:pPr>
      <w:rPr>
        <w:rFonts w:ascii="Arial" w:eastAsiaTheme="minorHAnsi"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C7600B6"/>
    <w:multiLevelType w:val="hybridMultilevel"/>
    <w:tmpl w:val="F2621CB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7F3434FE"/>
    <w:multiLevelType w:val="hybridMultilevel"/>
    <w:tmpl w:val="41EA0C0C"/>
    <w:lvl w:ilvl="0" w:tplc="10C83192">
      <w:numFmt w:val="bullet"/>
      <w:lvlText w:val="-"/>
      <w:lvlJc w:val="left"/>
      <w:pPr>
        <w:ind w:left="720" w:hanging="360"/>
      </w:pPr>
      <w:rPr>
        <w:rFonts w:ascii="Arial" w:eastAsiaTheme="minorHAnsi"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F787BF4"/>
    <w:multiLevelType w:val="hybridMultilevel"/>
    <w:tmpl w:val="3D0415CA"/>
    <w:lvl w:ilvl="0" w:tplc="CEC6052E">
      <w:start w:val="1"/>
      <w:numFmt w:val="bullet"/>
      <w:lvlText w:val=""/>
      <w:lvlJc w:val="left"/>
      <w:pPr>
        <w:ind w:left="720" w:hanging="363"/>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16cid:durableId="446706206">
    <w:abstractNumId w:val="0"/>
  </w:num>
  <w:num w:numId="2" w16cid:durableId="1565867449">
    <w:abstractNumId w:val="1"/>
  </w:num>
  <w:num w:numId="3" w16cid:durableId="469829044">
    <w:abstractNumId w:val="12"/>
  </w:num>
  <w:num w:numId="4" w16cid:durableId="1029330686">
    <w:abstractNumId w:val="5"/>
  </w:num>
  <w:num w:numId="5" w16cid:durableId="420958149">
    <w:abstractNumId w:val="9"/>
  </w:num>
  <w:num w:numId="6" w16cid:durableId="1575045002">
    <w:abstractNumId w:val="8"/>
  </w:num>
  <w:num w:numId="7" w16cid:durableId="1532189142">
    <w:abstractNumId w:val="2"/>
  </w:num>
  <w:num w:numId="8" w16cid:durableId="457997007">
    <w:abstractNumId w:val="14"/>
  </w:num>
  <w:num w:numId="9" w16cid:durableId="169763117">
    <w:abstractNumId w:val="10"/>
  </w:num>
  <w:num w:numId="10" w16cid:durableId="1364787347">
    <w:abstractNumId w:val="7"/>
  </w:num>
  <w:num w:numId="11" w16cid:durableId="2012757636">
    <w:abstractNumId w:val="16"/>
  </w:num>
  <w:num w:numId="12" w16cid:durableId="1656177476">
    <w:abstractNumId w:val="11"/>
  </w:num>
  <w:num w:numId="13" w16cid:durableId="2090883922">
    <w:abstractNumId w:val="13"/>
  </w:num>
  <w:num w:numId="14" w16cid:durableId="302663845">
    <w:abstractNumId w:val="15"/>
  </w:num>
  <w:num w:numId="15" w16cid:durableId="681780164">
    <w:abstractNumId w:val="4"/>
  </w:num>
  <w:num w:numId="16" w16cid:durableId="1855653147">
    <w:abstractNumId w:val="2"/>
  </w:num>
  <w:num w:numId="17" w16cid:durableId="1627084914">
    <w:abstractNumId w:val="3"/>
  </w:num>
  <w:num w:numId="18" w16cid:durableId="168555004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C6"/>
    <w:rsid w:val="00002165"/>
    <w:rsid w:val="00006866"/>
    <w:rsid w:val="000106E5"/>
    <w:rsid w:val="00013B2A"/>
    <w:rsid w:val="000152A1"/>
    <w:rsid w:val="000166E3"/>
    <w:rsid w:val="00016C6F"/>
    <w:rsid w:val="000259C7"/>
    <w:rsid w:val="00025A71"/>
    <w:rsid w:val="00027CC3"/>
    <w:rsid w:val="00031618"/>
    <w:rsid w:val="000327DD"/>
    <w:rsid w:val="000328C2"/>
    <w:rsid w:val="00033032"/>
    <w:rsid w:val="00033EDC"/>
    <w:rsid w:val="00036F41"/>
    <w:rsid w:val="00037FA4"/>
    <w:rsid w:val="000434D3"/>
    <w:rsid w:val="00043C3F"/>
    <w:rsid w:val="00046929"/>
    <w:rsid w:val="0004719C"/>
    <w:rsid w:val="00050170"/>
    <w:rsid w:val="00052B2B"/>
    <w:rsid w:val="0005380D"/>
    <w:rsid w:val="00054E23"/>
    <w:rsid w:val="00055629"/>
    <w:rsid w:val="00057008"/>
    <w:rsid w:val="00057FA0"/>
    <w:rsid w:val="000627F7"/>
    <w:rsid w:val="000637E8"/>
    <w:rsid w:val="00063D68"/>
    <w:rsid w:val="00067FAC"/>
    <w:rsid w:val="00071D0B"/>
    <w:rsid w:val="00077027"/>
    <w:rsid w:val="0007789B"/>
    <w:rsid w:val="000917F0"/>
    <w:rsid w:val="00091902"/>
    <w:rsid w:val="00091BA4"/>
    <w:rsid w:val="000926EB"/>
    <w:rsid w:val="00093352"/>
    <w:rsid w:val="000938DE"/>
    <w:rsid w:val="000947B0"/>
    <w:rsid w:val="00094814"/>
    <w:rsid w:val="0009573F"/>
    <w:rsid w:val="000975D2"/>
    <w:rsid w:val="000A0B95"/>
    <w:rsid w:val="000A17DB"/>
    <w:rsid w:val="000A23B8"/>
    <w:rsid w:val="000A54BF"/>
    <w:rsid w:val="000A5E8A"/>
    <w:rsid w:val="000B0689"/>
    <w:rsid w:val="000B1363"/>
    <w:rsid w:val="000B27AA"/>
    <w:rsid w:val="000B5E4C"/>
    <w:rsid w:val="000B72FC"/>
    <w:rsid w:val="000B7A2A"/>
    <w:rsid w:val="000C2126"/>
    <w:rsid w:val="000C35EB"/>
    <w:rsid w:val="000C6378"/>
    <w:rsid w:val="000D7A2D"/>
    <w:rsid w:val="000E107A"/>
    <w:rsid w:val="000E25DF"/>
    <w:rsid w:val="000E3ACF"/>
    <w:rsid w:val="000E4C9B"/>
    <w:rsid w:val="000E5DF9"/>
    <w:rsid w:val="000E654E"/>
    <w:rsid w:val="000F540C"/>
    <w:rsid w:val="0010438E"/>
    <w:rsid w:val="00106EFB"/>
    <w:rsid w:val="0011067A"/>
    <w:rsid w:val="00110C6F"/>
    <w:rsid w:val="00115041"/>
    <w:rsid w:val="00115E47"/>
    <w:rsid w:val="00115F12"/>
    <w:rsid w:val="00116E59"/>
    <w:rsid w:val="00120074"/>
    <w:rsid w:val="001200D6"/>
    <w:rsid w:val="001217B1"/>
    <w:rsid w:val="00123A0D"/>
    <w:rsid w:val="00123F9A"/>
    <w:rsid w:val="001244B0"/>
    <w:rsid w:val="00127A46"/>
    <w:rsid w:val="00131267"/>
    <w:rsid w:val="0013507F"/>
    <w:rsid w:val="001407F9"/>
    <w:rsid w:val="0014204F"/>
    <w:rsid w:val="00142C9F"/>
    <w:rsid w:val="00144BA6"/>
    <w:rsid w:val="00152667"/>
    <w:rsid w:val="00156A80"/>
    <w:rsid w:val="001610E3"/>
    <w:rsid w:val="0016164D"/>
    <w:rsid w:val="0016271C"/>
    <w:rsid w:val="00162C8B"/>
    <w:rsid w:val="00163B80"/>
    <w:rsid w:val="0016442C"/>
    <w:rsid w:val="001648E2"/>
    <w:rsid w:val="00165ABA"/>
    <w:rsid w:val="00170945"/>
    <w:rsid w:val="001715E7"/>
    <w:rsid w:val="001727CF"/>
    <w:rsid w:val="0017395C"/>
    <w:rsid w:val="00173D90"/>
    <w:rsid w:val="00175E33"/>
    <w:rsid w:val="00186CCB"/>
    <w:rsid w:val="001879C9"/>
    <w:rsid w:val="001900E1"/>
    <w:rsid w:val="00190F43"/>
    <w:rsid w:val="00192468"/>
    <w:rsid w:val="0019302D"/>
    <w:rsid w:val="00194C18"/>
    <w:rsid w:val="00195CCD"/>
    <w:rsid w:val="00195D2F"/>
    <w:rsid w:val="001968F4"/>
    <w:rsid w:val="001A03DA"/>
    <w:rsid w:val="001A0E84"/>
    <w:rsid w:val="001A2AC3"/>
    <w:rsid w:val="001A49C9"/>
    <w:rsid w:val="001B2708"/>
    <w:rsid w:val="001B29C7"/>
    <w:rsid w:val="001B2A06"/>
    <w:rsid w:val="001B3FA7"/>
    <w:rsid w:val="001B74C4"/>
    <w:rsid w:val="001B7919"/>
    <w:rsid w:val="001C36CB"/>
    <w:rsid w:val="001C68D6"/>
    <w:rsid w:val="001D111B"/>
    <w:rsid w:val="001D58D9"/>
    <w:rsid w:val="001D593C"/>
    <w:rsid w:val="001E2B56"/>
    <w:rsid w:val="001E3397"/>
    <w:rsid w:val="001E56E0"/>
    <w:rsid w:val="001F0CC1"/>
    <w:rsid w:val="001F40E2"/>
    <w:rsid w:val="001F4C66"/>
    <w:rsid w:val="001F5389"/>
    <w:rsid w:val="001F55E8"/>
    <w:rsid w:val="001F65C0"/>
    <w:rsid w:val="001F7018"/>
    <w:rsid w:val="0020169F"/>
    <w:rsid w:val="00202492"/>
    <w:rsid w:val="00204C40"/>
    <w:rsid w:val="0020705D"/>
    <w:rsid w:val="00207509"/>
    <w:rsid w:val="00211772"/>
    <w:rsid w:val="002125F9"/>
    <w:rsid w:val="002126D1"/>
    <w:rsid w:val="00212FF5"/>
    <w:rsid w:val="00213DDC"/>
    <w:rsid w:val="002169F8"/>
    <w:rsid w:val="00217B68"/>
    <w:rsid w:val="00221DC4"/>
    <w:rsid w:val="002249E2"/>
    <w:rsid w:val="00225245"/>
    <w:rsid w:val="002266E3"/>
    <w:rsid w:val="002315EF"/>
    <w:rsid w:val="00231AF2"/>
    <w:rsid w:val="00241D7A"/>
    <w:rsid w:val="00241F60"/>
    <w:rsid w:val="00242C32"/>
    <w:rsid w:val="00245770"/>
    <w:rsid w:val="00250002"/>
    <w:rsid w:val="0025077A"/>
    <w:rsid w:val="002514F1"/>
    <w:rsid w:val="00252C13"/>
    <w:rsid w:val="0025426C"/>
    <w:rsid w:val="00254526"/>
    <w:rsid w:val="002558E2"/>
    <w:rsid w:val="00256AC9"/>
    <w:rsid w:val="00261A36"/>
    <w:rsid w:val="00261C66"/>
    <w:rsid w:val="00262BB2"/>
    <w:rsid w:val="00263B1E"/>
    <w:rsid w:val="002656F4"/>
    <w:rsid w:val="00265BD4"/>
    <w:rsid w:val="0026750F"/>
    <w:rsid w:val="00267FE1"/>
    <w:rsid w:val="00270B86"/>
    <w:rsid w:val="00271C09"/>
    <w:rsid w:val="00273488"/>
    <w:rsid w:val="0027387D"/>
    <w:rsid w:val="00273883"/>
    <w:rsid w:val="00277595"/>
    <w:rsid w:val="0028038C"/>
    <w:rsid w:val="00282014"/>
    <w:rsid w:val="00283163"/>
    <w:rsid w:val="002916DE"/>
    <w:rsid w:val="002918C9"/>
    <w:rsid w:val="00293A71"/>
    <w:rsid w:val="00294C97"/>
    <w:rsid w:val="00294D96"/>
    <w:rsid w:val="002A3A20"/>
    <w:rsid w:val="002A3BB5"/>
    <w:rsid w:val="002A4823"/>
    <w:rsid w:val="002A69B1"/>
    <w:rsid w:val="002B316B"/>
    <w:rsid w:val="002B697D"/>
    <w:rsid w:val="002B71AD"/>
    <w:rsid w:val="002B7BA7"/>
    <w:rsid w:val="002C05BC"/>
    <w:rsid w:val="002C2ABA"/>
    <w:rsid w:val="002C2C11"/>
    <w:rsid w:val="002C2E9A"/>
    <w:rsid w:val="002C3842"/>
    <w:rsid w:val="002C4AF5"/>
    <w:rsid w:val="002D0F0B"/>
    <w:rsid w:val="002D160A"/>
    <w:rsid w:val="002D2A3F"/>
    <w:rsid w:val="002D40C0"/>
    <w:rsid w:val="002D5B80"/>
    <w:rsid w:val="002D7F7F"/>
    <w:rsid w:val="002E0571"/>
    <w:rsid w:val="002E09EC"/>
    <w:rsid w:val="002E1A91"/>
    <w:rsid w:val="002E1F5F"/>
    <w:rsid w:val="002E4F86"/>
    <w:rsid w:val="002E59D4"/>
    <w:rsid w:val="002E5AE4"/>
    <w:rsid w:val="002E7089"/>
    <w:rsid w:val="002F143B"/>
    <w:rsid w:val="002F1644"/>
    <w:rsid w:val="002F38DE"/>
    <w:rsid w:val="002F4D8C"/>
    <w:rsid w:val="002F4E8B"/>
    <w:rsid w:val="002F5AC7"/>
    <w:rsid w:val="00300344"/>
    <w:rsid w:val="0030047C"/>
    <w:rsid w:val="003011AD"/>
    <w:rsid w:val="00302ABA"/>
    <w:rsid w:val="00303222"/>
    <w:rsid w:val="00304434"/>
    <w:rsid w:val="00305C0F"/>
    <w:rsid w:val="003073CC"/>
    <w:rsid w:val="0031059F"/>
    <w:rsid w:val="00315CE5"/>
    <w:rsid w:val="00315F0D"/>
    <w:rsid w:val="00317F77"/>
    <w:rsid w:val="00321D8F"/>
    <w:rsid w:val="00325D61"/>
    <w:rsid w:val="00327363"/>
    <w:rsid w:val="00331F28"/>
    <w:rsid w:val="00336010"/>
    <w:rsid w:val="00337B60"/>
    <w:rsid w:val="00341464"/>
    <w:rsid w:val="003424F8"/>
    <w:rsid w:val="0034258F"/>
    <w:rsid w:val="003441DB"/>
    <w:rsid w:val="0034486D"/>
    <w:rsid w:val="00345311"/>
    <w:rsid w:val="003466FD"/>
    <w:rsid w:val="003528F9"/>
    <w:rsid w:val="00353249"/>
    <w:rsid w:val="00353FEA"/>
    <w:rsid w:val="003543D2"/>
    <w:rsid w:val="0035509E"/>
    <w:rsid w:val="00355F0A"/>
    <w:rsid w:val="00362971"/>
    <w:rsid w:val="00363242"/>
    <w:rsid w:val="0036334C"/>
    <w:rsid w:val="00364AC2"/>
    <w:rsid w:val="003660DE"/>
    <w:rsid w:val="003711A8"/>
    <w:rsid w:val="00371813"/>
    <w:rsid w:val="00376289"/>
    <w:rsid w:val="00377392"/>
    <w:rsid w:val="00381669"/>
    <w:rsid w:val="00384A37"/>
    <w:rsid w:val="0038623F"/>
    <w:rsid w:val="00386B12"/>
    <w:rsid w:val="00386BDA"/>
    <w:rsid w:val="00386CA6"/>
    <w:rsid w:val="0039355A"/>
    <w:rsid w:val="00393E61"/>
    <w:rsid w:val="00395E36"/>
    <w:rsid w:val="003A6E72"/>
    <w:rsid w:val="003A731A"/>
    <w:rsid w:val="003A7488"/>
    <w:rsid w:val="003B086F"/>
    <w:rsid w:val="003B0C43"/>
    <w:rsid w:val="003B280A"/>
    <w:rsid w:val="003B535F"/>
    <w:rsid w:val="003B578F"/>
    <w:rsid w:val="003B6BB9"/>
    <w:rsid w:val="003B7450"/>
    <w:rsid w:val="003C025F"/>
    <w:rsid w:val="003C0348"/>
    <w:rsid w:val="003C1E22"/>
    <w:rsid w:val="003C28A3"/>
    <w:rsid w:val="003C5C74"/>
    <w:rsid w:val="003D0426"/>
    <w:rsid w:val="003D23DA"/>
    <w:rsid w:val="003D293A"/>
    <w:rsid w:val="003E0B6C"/>
    <w:rsid w:val="003E36CD"/>
    <w:rsid w:val="003E4527"/>
    <w:rsid w:val="003E5F29"/>
    <w:rsid w:val="003E6613"/>
    <w:rsid w:val="003E7275"/>
    <w:rsid w:val="003E757E"/>
    <w:rsid w:val="003F0812"/>
    <w:rsid w:val="003F2CE4"/>
    <w:rsid w:val="003F2DB9"/>
    <w:rsid w:val="003F321E"/>
    <w:rsid w:val="003F4862"/>
    <w:rsid w:val="004009B9"/>
    <w:rsid w:val="00404A74"/>
    <w:rsid w:val="00405979"/>
    <w:rsid w:val="00406191"/>
    <w:rsid w:val="00406BCF"/>
    <w:rsid w:val="00410A60"/>
    <w:rsid w:val="00413839"/>
    <w:rsid w:val="00416E7A"/>
    <w:rsid w:val="00417AA9"/>
    <w:rsid w:val="004206BB"/>
    <w:rsid w:val="00423B77"/>
    <w:rsid w:val="00427C75"/>
    <w:rsid w:val="00431A91"/>
    <w:rsid w:val="0043279F"/>
    <w:rsid w:val="00435E57"/>
    <w:rsid w:val="00440B7B"/>
    <w:rsid w:val="00446128"/>
    <w:rsid w:val="004464DA"/>
    <w:rsid w:val="00446BB4"/>
    <w:rsid w:val="00451485"/>
    <w:rsid w:val="004530BA"/>
    <w:rsid w:val="0045354B"/>
    <w:rsid w:val="004552D3"/>
    <w:rsid w:val="00457789"/>
    <w:rsid w:val="00461DB6"/>
    <w:rsid w:val="00462962"/>
    <w:rsid w:val="004635C5"/>
    <w:rsid w:val="00465FF7"/>
    <w:rsid w:val="0047040B"/>
    <w:rsid w:val="00471367"/>
    <w:rsid w:val="00471903"/>
    <w:rsid w:val="004733FD"/>
    <w:rsid w:val="00474300"/>
    <w:rsid w:val="004745FE"/>
    <w:rsid w:val="00474786"/>
    <w:rsid w:val="00476F9F"/>
    <w:rsid w:val="00477FF4"/>
    <w:rsid w:val="0048106C"/>
    <w:rsid w:val="00485146"/>
    <w:rsid w:val="004878E0"/>
    <w:rsid w:val="0049077A"/>
    <w:rsid w:val="00492968"/>
    <w:rsid w:val="00495039"/>
    <w:rsid w:val="004952CA"/>
    <w:rsid w:val="00495B1B"/>
    <w:rsid w:val="00496797"/>
    <w:rsid w:val="004974ED"/>
    <w:rsid w:val="004A5B0E"/>
    <w:rsid w:val="004B32D3"/>
    <w:rsid w:val="004B3694"/>
    <w:rsid w:val="004B3F91"/>
    <w:rsid w:val="004B5A2D"/>
    <w:rsid w:val="004C0FC6"/>
    <w:rsid w:val="004C584B"/>
    <w:rsid w:val="004C6EDA"/>
    <w:rsid w:val="004D0710"/>
    <w:rsid w:val="004D36CF"/>
    <w:rsid w:val="004D63BC"/>
    <w:rsid w:val="004D64DB"/>
    <w:rsid w:val="004D677A"/>
    <w:rsid w:val="004D6FBC"/>
    <w:rsid w:val="004E1105"/>
    <w:rsid w:val="004E4B0F"/>
    <w:rsid w:val="004E7271"/>
    <w:rsid w:val="004E7CC8"/>
    <w:rsid w:val="004F09E3"/>
    <w:rsid w:val="004F0C55"/>
    <w:rsid w:val="004F59B8"/>
    <w:rsid w:val="004F61E3"/>
    <w:rsid w:val="00501293"/>
    <w:rsid w:val="00502064"/>
    <w:rsid w:val="00510316"/>
    <w:rsid w:val="005109F7"/>
    <w:rsid w:val="005137BD"/>
    <w:rsid w:val="00516011"/>
    <w:rsid w:val="005207A0"/>
    <w:rsid w:val="005207D8"/>
    <w:rsid w:val="00520ED6"/>
    <w:rsid w:val="005221B3"/>
    <w:rsid w:val="00522C86"/>
    <w:rsid w:val="00525D45"/>
    <w:rsid w:val="00525E18"/>
    <w:rsid w:val="00534F46"/>
    <w:rsid w:val="00536887"/>
    <w:rsid w:val="005372FD"/>
    <w:rsid w:val="0053782B"/>
    <w:rsid w:val="005405C4"/>
    <w:rsid w:val="00540EE4"/>
    <w:rsid w:val="00545E30"/>
    <w:rsid w:val="00563844"/>
    <w:rsid w:val="00564A31"/>
    <w:rsid w:val="00565B22"/>
    <w:rsid w:val="00567774"/>
    <w:rsid w:val="00567847"/>
    <w:rsid w:val="00570A9A"/>
    <w:rsid w:val="0057257F"/>
    <w:rsid w:val="00572DAE"/>
    <w:rsid w:val="005738B1"/>
    <w:rsid w:val="00576649"/>
    <w:rsid w:val="00576B2B"/>
    <w:rsid w:val="005770EB"/>
    <w:rsid w:val="00577324"/>
    <w:rsid w:val="005814A7"/>
    <w:rsid w:val="00581B89"/>
    <w:rsid w:val="005834CC"/>
    <w:rsid w:val="00584704"/>
    <w:rsid w:val="00590A47"/>
    <w:rsid w:val="0059363E"/>
    <w:rsid w:val="00593B6D"/>
    <w:rsid w:val="00593F8D"/>
    <w:rsid w:val="00595C23"/>
    <w:rsid w:val="005973FB"/>
    <w:rsid w:val="005A2FD5"/>
    <w:rsid w:val="005A38D1"/>
    <w:rsid w:val="005A49B1"/>
    <w:rsid w:val="005B0CD4"/>
    <w:rsid w:val="005B5EA5"/>
    <w:rsid w:val="005B5F43"/>
    <w:rsid w:val="005B6122"/>
    <w:rsid w:val="005B66C9"/>
    <w:rsid w:val="005B7813"/>
    <w:rsid w:val="005C0A5E"/>
    <w:rsid w:val="005C2D90"/>
    <w:rsid w:val="005C3E8C"/>
    <w:rsid w:val="005C624F"/>
    <w:rsid w:val="005C6CB3"/>
    <w:rsid w:val="005C7964"/>
    <w:rsid w:val="005D0475"/>
    <w:rsid w:val="005D07ED"/>
    <w:rsid w:val="005D233E"/>
    <w:rsid w:val="005D266B"/>
    <w:rsid w:val="005E2375"/>
    <w:rsid w:val="005E2C6E"/>
    <w:rsid w:val="005E2ECF"/>
    <w:rsid w:val="005E3306"/>
    <w:rsid w:val="005E3472"/>
    <w:rsid w:val="005E79AD"/>
    <w:rsid w:val="005E7A4B"/>
    <w:rsid w:val="005F002B"/>
    <w:rsid w:val="005F0EDF"/>
    <w:rsid w:val="005F178E"/>
    <w:rsid w:val="005F2387"/>
    <w:rsid w:val="005F32C8"/>
    <w:rsid w:val="005F331C"/>
    <w:rsid w:val="005F7711"/>
    <w:rsid w:val="0060059A"/>
    <w:rsid w:val="0060062F"/>
    <w:rsid w:val="00601459"/>
    <w:rsid w:val="00601CDC"/>
    <w:rsid w:val="00603675"/>
    <w:rsid w:val="006036B0"/>
    <w:rsid w:val="00603A37"/>
    <w:rsid w:val="00612DE7"/>
    <w:rsid w:val="006130C2"/>
    <w:rsid w:val="00614D51"/>
    <w:rsid w:val="00615C6F"/>
    <w:rsid w:val="00621499"/>
    <w:rsid w:val="00621E7F"/>
    <w:rsid w:val="00623C42"/>
    <w:rsid w:val="006253A8"/>
    <w:rsid w:val="00626984"/>
    <w:rsid w:val="00626BED"/>
    <w:rsid w:val="00632421"/>
    <w:rsid w:val="00633202"/>
    <w:rsid w:val="00633E76"/>
    <w:rsid w:val="00634EDF"/>
    <w:rsid w:val="00636971"/>
    <w:rsid w:val="00640E37"/>
    <w:rsid w:val="0064201C"/>
    <w:rsid w:val="00642133"/>
    <w:rsid w:val="00642AE1"/>
    <w:rsid w:val="006439D5"/>
    <w:rsid w:val="0064422A"/>
    <w:rsid w:val="00646DE0"/>
    <w:rsid w:val="00652545"/>
    <w:rsid w:val="00652F6A"/>
    <w:rsid w:val="00654F42"/>
    <w:rsid w:val="0065787B"/>
    <w:rsid w:val="006613BC"/>
    <w:rsid w:val="00661670"/>
    <w:rsid w:val="00661DBD"/>
    <w:rsid w:val="00664071"/>
    <w:rsid w:val="00665791"/>
    <w:rsid w:val="00671A13"/>
    <w:rsid w:val="00675284"/>
    <w:rsid w:val="006766A5"/>
    <w:rsid w:val="00676812"/>
    <w:rsid w:val="0068578A"/>
    <w:rsid w:val="0068637E"/>
    <w:rsid w:val="00686DF1"/>
    <w:rsid w:val="006A1D5F"/>
    <w:rsid w:val="006A2CE8"/>
    <w:rsid w:val="006A3748"/>
    <w:rsid w:val="006A4349"/>
    <w:rsid w:val="006B0A08"/>
    <w:rsid w:val="006B2166"/>
    <w:rsid w:val="006B2398"/>
    <w:rsid w:val="006B2A70"/>
    <w:rsid w:val="006B2A73"/>
    <w:rsid w:val="006B49FA"/>
    <w:rsid w:val="006B7617"/>
    <w:rsid w:val="006C19D9"/>
    <w:rsid w:val="006C6405"/>
    <w:rsid w:val="006C6B2C"/>
    <w:rsid w:val="006D10F9"/>
    <w:rsid w:val="006D185C"/>
    <w:rsid w:val="006D481C"/>
    <w:rsid w:val="006D4FAB"/>
    <w:rsid w:val="006D7923"/>
    <w:rsid w:val="006D7DCD"/>
    <w:rsid w:val="006E0C13"/>
    <w:rsid w:val="006E1BED"/>
    <w:rsid w:val="006E246C"/>
    <w:rsid w:val="006E35A5"/>
    <w:rsid w:val="006E4CB1"/>
    <w:rsid w:val="006F0BC4"/>
    <w:rsid w:val="006F429E"/>
    <w:rsid w:val="00704F0D"/>
    <w:rsid w:val="00705671"/>
    <w:rsid w:val="007100E2"/>
    <w:rsid w:val="007129C3"/>
    <w:rsid w:val="007161C5"/>
    <w:rsid w:val="00716BEE"/>
    <w:rsid w:val="00720480"/>
    <w:rsid w:val="00720C86"/>
    <w:rsid w:val="00723B7B"/>
    <w:rsid w:val="00724978"/>
    <w:rsid w:val="007249F6"/>
    <w:rsid w:val="00725355"/>
    <w:rsid w:val="007253A6"/>
    <w:rsid w:val="00726658"/>
    <w:rsid w:val="00726C8E"/>
    <w:rsid w:val="00730276"/>
    <w:rsid w:val="0073044F"/>
    <w:rsid w:val="00730CE0"/>
    <w:rsid w:val="00732777"/>
    <w:rsid w:val="00732DB5"/>
    <w:rsid w:val="0073389D"/>
    <w:rsid w:val="007344E0"/>
    <w:rsid w:val="007350BB"/>
    <w:rsid w:val="007371B6"/>
    <w:rsid w:val="00740BCF"/>
    <w:rsid w:val="00741289"/>
    <w:rsid w:val="00741769"/>
    <w:rsid w:val="00742EB7"/>
    <w:rsid w:val="00744C16"/>
    <w:rsid w:val="0075048B"/>
    <w:rsid w:val="007504E3"/>
    <w:rsid w:val="007506E6"/>
    <w:rsid w:val="0075173E"/>
    <w:rsid w:val="00753468"/>
    <w:rsid w:val="0075625A"/>
    <w:rsid w:val="00757B61"/>
    <w:rsid w:val="007617A8"/>
    <w:rsid w:val="00761A23"/>
    <w:rsid w:val="0076671B"/>
    <w:rsid w:val="00766CBB"/>
    <w:rsid w:val="0076737D"/>
    <w:rsid w:val="00775D49"/>
    <w:rsid w:val="0078324A"/>
    <w:rsid w:val="00783A7E"/>
    <w:rsid w:val="007852C8"/>
    <w:rsid w:val="0079050E"/>
    <w:rsid w:val="00791FC8"/>
    <w:rsid w:val="00793836"/>
    <w:rsid w:val="00794F2C"/>
    <w:rsid w:val="00797A94"/>
    <w:rsid w:val="00797D68"/>
    <w:rsid w:val="007A1EDC"/>
    <w:rsid w:val="007A3FD8"/>
    <w:rsid w:val="007A67B9"/>
    <w:rsid w:val="007B0D27"/>
    <w:rsid w:val="007B0EF1"/>
    <w:rsid w:val="007B1EEB"/>
    <w:rsid w:val="007B29CA"/>
    <w:rsid w:val="007B6F7B"/>
    <w:rsid w:val="007B776B"/>
    <w:rsid w:val="007B7CE2"/>
    <w:rsid w:val="007C2BBE"/>
    <w:rsid w:val="007C5DFD"/>
    <w:rsid w:val="007C7B2A"/>
    <w:rsid w:val="007D0812"/>
    <w:rsid w:val="007D32BE"/>
    <w:rsid w:val="007D4F31"/>
    <w:rsid w:val="007D5ED4"/>
    <w:rsid w:val="007E215F"/>
    <w:rsid w:val="007E2A1F"/>
    <w:rsid w:val="007E2A5A"/>
    <w:rsid w:val="007E3259"/>
    <w:rsid w:val="007E3720"/>
    <w:rsid w:val="007E3D9D"/>
    <w:rsid w:val="007E4E5C"/>
    <w:rsid w:val="007E4F11"/>
    <w:rsid w:val="007F1C52"/>
    <w:rsid w:val="007F1D95"/>
    <w:rsid w:val="007F2172"/>
    <w:rsid w:val="007F35F4"/>
    <w:rsid w:val="007F4A5C"/>
    <w:rsid w:val="007F4EA4"/>
    <w:rsid w:val="007F558A"/>
    <w:rsid w:val="007F6C35"/>
    <w:rsid w:val="00800138"/>
    <w:rsid w:val="00801F0A"/>
    <w:rsid w:val="00803650"/>
    <w:rsid w:val="00804C3D"/>
    <w:rsid w:val="00807CDA"/>
    <w:rsid w:val="0081055E"/>
    <w:rsid w:val="00810EB1"/>
    <w:rsid w:val="00811B1D"/>
    <w:rsid w:val="00815EF7"/>
    <w:rsid w:val="008162D5"/>
    <w:rsid w:val="00820915"/>
    <w:rsid w:val="008233A8"/>
    <w:rsid w:val="008236EA"/>
    <w:rsid w:val="00824569"/>
    <w:rsid w:val="00826BAA"/>
    <w:rsid w:val="008315D2"/>
    <w:rsid w:val="00832B47"/>
    <w:rsid w:val="0083528D"/>
    <w:rsid w:val="0083619F"/>
    <w:rsid w:val="00837620"/>
    <w:rsid w:val="0084045C"/>
    <w:rsid w:val="00840BF0"/>
    <w:rsid w:val="00842517"/>
    <w:rsid w:val="00842A8F"/>
    <w:rsid w:val="008445C2"/>
    <w:rsid w:val="00845FB9"/>
    <w:rsid w:val="00847066"/>
    <w:rsid w:val="008515AE"/>
    <w:rsid w:val="00852B11"/>
    <w:rsid w:val="00853CD5"/>
    <w:rsid w:val="00854CD0"/>
    <w:rsid w:val="0085638C"/>
    <w:rsid w:val="00857C08"/>
    <w:rsid w:val="00863371"/>
    <w:rsid w:val="008659E7"/>
    <w:rsid w:val="00866657"/>
    <w:rsid w:val="00867960"/>
    <w:rsid w:val="00867FC4"/>
    <w:rsid w:val="008706B5"/>
    <w:rsid w:val="00871310"/>
    <w:rsid w:val="0087258C"/>
    <w:rsid w:val="00875422"/>
    <w:rsid w:val="0087574E"/>
    <w:rsid w:val="00875C34"/>
    <w:rsid w:val="008803E1"/>
    <w:rsid w:val="008834B2"/>
    <w:rsid w:val="00883830"/>
    <w:rsid w:val="008844DA"/>
    <w:rsid w:val="00885444"/>
    <w:rsid w:val="00887CD7"/>
    <w:rsid w:val="008906F4"/>
    <w:rsid w:val="0089143C"/>
    <w:rsid w:val="008923C9"/>
    <w:rsid w:val="00892B8A"/>
    <w:rsid w:val="008975F9"/>
    <w:rsid w:val="008A0C6C"/>
    <w:rsid w:val="008A1E5A"/>
    <w:rsid w:val="008A3305"/>
    <w:rsid w:val="008A5E2C"/>
    <w:rsid w:val="008A607F"/>
    <w:rsid w:val="008A6295"/>
    <w:rsid w:val="008A7279"/>
    <w:rsid w:val="008A77F2"/>
    <w:rsid w:val="008A7F43"/>
    <w:rsid w:val="008B155F"/>
    <w:rsid w:val="008B3340"/>
    <w:rsid w:val="008B4D99"/>
    <w:rsid w:val="008B579E"/>
    <w:rsid w:val="008B7BBE"/>
    <w:rsid w:val="008C1887"/>
    <w:rsid w:val="008C28F7"/>
    <w:rsid w:val="008C4F83"/>
    <w:rsid w:val="008C6E68"/>
    <w:rsid w:val="008D079D"/>
    <w:rsid w:val="008D336E"/>
    <w:rsid w:val="008D4A2C"/>
    <w:rsid w:val="008E1FD1"/>
    <w:rsid w:val="008E3481"/>
    <w:rsid w:val="008E5BC2"/>
    <w:rsid w:val="008E68D0"/>
    <w:rsid w:val="008E7D8A"/>
    <w:rsid w:val="008F0BEF"/>
    <w:rsid w:val="008F0DCE"/>
    <w:rsid w:val="008F2083"/>
    <w:rsid w:val="008F481D"/>
    <w:rsid w:val="008F5169"/>
    <w:rsid w:val="008F5E0E"/>
    <w:rsid w:val="008F7DF5"/>
    <w:rsid w:val="00904FF2"/>
    <w:rsid w:val="00907B09"/>
    <w:rsid w:val="00911A84"/>
    <w:rsid w:val="009123EB"/>
    <w:rsid w:val="00912DEE"/>
    <w:rsid w:val="00914EA8"/>
    <w:rsid w:val="009164DA"/>
    <w:rsid w:val="00917321"/>
    <w:rsid w:val="00917D7F"/>
    <w:rsid w:val="00922077"/>
    <w:rsid w:val="00924E6C"/>
    <w:rsid w:val="00926BA5"/>
    <w:rsid w:val="0093013B"/>
    <w:rsid w:val="009325BB"/>
    <w:rsid w:val="00940FEC"/>
    <w:rsid w:val="00941649"/>
    <w:rsid w:val="00944855"/>
    <w:rsid w:val="0095332E"/>
    <w:rsid w:val="00953AB2"/>
    <w:rsid w:val="00954256"/>
    <w:rsid w:val="009545D4"/>
    <w:rsid w:val="00956211"/>
    <w:rsid w:val="00957738"/>
    <w:rsid w:val="00962669"/>
    <w:rsid w:val="00962799"/>
    <w:rsid w:val="00963450"/>
    <w:rsid w:val="00966446"/>
    <w:rsid w:val="00966919"/>
    <w:rsid w:val="00967247"/>
    <w:rsid w:val="00970ACA"/>
    <w:rsid w:val="00980BB3"/>
    <w:rsid w:val="0098144C"/>
    <w:rsid w:val="00981D7B"/>
    <w:rsid w:val="00981E62"/>
    <w:rsid w:val="00983B28"/>
    <w:rsid w:val="00985041"/>
    <w:rsid w:val="009854DD"/>
    <w:rsid w:val="009859EB"/>
    <w:rsid w:val="00990122"/>
    <w:rsid w:val="00990942"/>
    <w:rsid w:val="00992D5A"/>
    <w:rsid w:val="00993907"/>
    <w:rsid w:val="00993FC0"/>
    <w:rsid w:val="0099753B"/>
    <w:rsid w:val="00997999"/>
    <w:rsid w:val="00997D02"/>
    <w:rsid w:val="009A1FD3"/>
    <w:rsid w:val="009A2072"/>
    <w:rsid w:val="009A5DC2"/>
    <w:rsid w:val="009A6FCA"/>
    <w:rsid w:val="009B0E7C"/>
    <w:rsid w:val="009B2D4A"/>
    <w:rsid w:val="009B307C"/>
    <w:rsid w:val="009B5D5F"/>
    <w:rsid w:val="009B70F2"/>
    <w:rsid w:val="009C0A8B"/>
    <w:rsid w:val="009C105E"/>
    <w:rsid w:val="009C109D"/>
    <w:rsid w:val="009C10BB"/>
    <w:rsid w:val="009C2908"/>
    <w:rsid w:val="009C305B"/>
    <w:rsid w:val="009C6EA8"/>
    <w:rsid w:val="009D11EE"/>
    <w:rsid w:val="009D1510"/>
    <w:rsid w:val="009D1E7A"/>
    <w:rsid w:val="009D2A62"/>
    <w:rsid w:val="009D343E"/>
    <w:rsid w:val="009D4235"/>
    <w:rsid w:val="009D4373"/>
    <w:rsid w:val="009D45B2"/>
    <w:rsid w:val="009D5B8E"/>
    <w:rsid w:val="009E30B7"/>
    <w:rsid w:val="009E3916"/>
    <w:rsid w:val="009E3C6F"/>
    <w:rsid w:val="009E3FC3"/>
    <w:rsid w:val="009E746E"/>
    <w:rsid w:val="009E7B57"/>
    <w:rsid w:val="009E7C6F"/>
    <w:rsid w:val="009F29E5"/>
    <w:rsid w:val="009F42EE"/>
    <w:rsid w:val="009F536A"/>
    <w:rsid w:val="009F6B62"/>
    <w:rsid w:val="009F7367"/>
    <w:rsid w:val="009F78B5"/>
    <w:rsid w:val="00A006F6"/>
    <w:rsid w:val="00A022E9"/>
    <w:rsid w:val="00A0301C"/>
    <w:rsid w:val="00A03D7E"/>
    <w:rsid w:val="00A0546D"/>
    <w:rsid w:val="00A076D5"/>
    <w:rsid w:val="00A108DA"/>
    <w:rsid w:val="00A11190"/>
    <w:rsid w:val="00A131E4"/>
    <w:rsid w:val="00A13A6F"/>
    <w:rsid w:val="00A25075"/>
    <w:rsid w:val="00A263DE"/>
    <w:rsid w:val="00A26CB0"/>
    <w:rsid w:val="00A27E04"/>
    <w:rsid w:val="00A27FA8"/>
    <w:rsid w:val="00A30ED8"/>
    <w:rsid w:val="00A328FA"/>
    <w:rsid w:val="00A34B6E"/>
    <w:rsid w:val="00A40F06"/>
    <w:rsid w:val="00A416F4"/>
    <w:rsid w:val="00A43F14"/>
    <w:rsid w:val="00A44064"/>
    <w:rsid w:val="00A444DB"/>
    <w:rsid w:val="00A449EB"/>
    <w:rsid w:val="00A5127F"/>
    <w:rsid w:val="00A51F98"/>
    <w:rsid w:val="00A52745"/>
    <w:rsid w:val="00A5304B"/>
    <w:rsid w:val="00A53D9C"/>
    <w:rsid w:val="00A53DED"/>
    <w:rsid w:val="00A549A3"/>
    <w:rsid w:val="00A54FBC"/>
    <w:rsid w:val="00A559DB"/>
    <w:rsid w:val="00A55E7D"/>
    <w:rsid w:val="00A623A0"/>
    <w:rsid w:val="00A6257F"/>
    <w:rsid w:val="00A70648"/>
    <w:rsid w:val="00A70B90"/>
    <w:rsid w:val="00A71510"/>
    <w:rsid w:val="00A7359A"/>
    <w:rsid w:val="00A753D8"/>
    <w:rsid w:val="00A76C5B"/>
    <w:rsid w:val="00A7749B"/>
    <w:rsid w:val="00A7762D"/>
    <w:rsid w:val="00A80230"/>
    <w:rsid w:val="00A80FB0"/>
    <w:rsid w:val="00A84FAE"/>
    <w:rsid w:val="00A856E1"/>
    <w:rsid w:val="00A85CB3"/>
    <w:rsid w:val="00A90042"/>
    <w:rsid w:val="00A90DAC"/>
    <w:rsid w:val="00A9285D"/>
    <w:rsid w:val="00A95A08"/>
    <w:rsid w:val="00A96C8D"/>
    <w:rsid w:val="00A96D10"/>
    <w:rsid w:val="00A97457"/>
    <w:rsid w:val="00AA1E41"/>
    <w:rsid w:val="00AA3129"/>
    <w:rsid w:val="00AA378C"/>
    <w:rsid w:val="00AA6061"/>
    <w:rsid w:val="00AB0B4D"/>
    <w:rsid w:val="00AB14EE"/>
    <w:rsid w:val="00AB159D"/>
    <w:rsid w:val="00AB2D20"/>
    <w:rsid w:val="00AB778F"/>
    <w:rsid w:val="00AC26F1"/>
    <w:rsid w:val="00AC56FC"/>
    <w:rsid w:val="00AC5B77"/>
    <w:rsid w:val="00AD0004"/>
    <w:rsid w:val="00AD455B"/>
    <w:rsid w:val="00AD7A48"/>
    <w:rsid w:val="00AE1CD9"/>
    <w:rsid w:val="00AE2B58"/>
    <w:rsid w:val="00AE36A3"/>
    <w:rsid w:val="00AE4EFB"/>
    <w:rsid w:val="00AE4FA5"/>
    <w:rsid w:val="00AE6B20"/>
    <w:rsid w:val="00AF180B"/>
    <w:rsid w:val="00AF212B"/>
    <w:rsid w:val="00AF2C3E"/>
    <w:rsid w:val="00AF3162"/>
    <w:rsid w:val="00AF4675"/>
    <w:rsid w:val="00AF7554"/>
    <w:rsid w:val="00B00AEC"/>
    <w:rsid w:val="00B0189D"/>
    <w:rsid w:val="00B01917"/>
    <w:rsid w:val="00B01F71"/>
    <w:rsid w:val="00B03113"/>
    <w:rsid w:val="00B0692E"/>
    <w:rsid w:val="00B06C51"/>
    <w:rsid w:val="00B109FF"/>
    <w:rsid w:val="00B11376"/>
    <w:rsid w:val="00B11734"/>
    <w:rsid w:val="00B12FFB"/>
    <w:rsid w:val="00B14730"/>
    <w:rsid w:val="00B16E6A"/>
    <w:rsid w:val="00B1720E"/>
    <w:rsid w:val="00B175AF"/>
    <w:rsid w:val="00B17F67"/>
    <w:rsid w:val="00B21664"/>
    <w:rsid w:val="00B21BFA"/>
    <w:rsid w:val="00B22E28"/>
    <w:rsid w:val="00B23F19"/>
    <w:rsid w:val="00B24360"/>
    <w:rsid w:val="00B25FE6"/>
    <w:rsid w:val="00B265FC"/>
    <w:rsid w:val="00B269B2"/>
    <w:rsid w:val="00B27392"/>
    <w:rsid w:val="00B301EB"/>
    <w:rsid w:val="00B30BF8"/>
    <w:rsid w:val="00B31571"/>
    <w:rsid w:val="00B31956"/>
    <w:rsid w:val="00B33AC2"/>
    <w:rsid w:val="00B34C74"/>
    <w:rsid w:val="00B426F5"/>
    <w:rsid w:val="00B441AD"/>
    <w:rsid w:val="00B45999"/>
    <w:rsid w:val="00B45C2E"/>
    <w:rsid w:val="00B46A9C"/>
    <w:rsid w:val="00B46D0A"/>
    <w:rsid w:val="00B51CBA"/>
    <w:rsid w:val="00B51F2A"/>
    <w:rsid w:val="00B54A48"/>
    <w:rsid w:val="00B56208"/>
    <w:rsid w:val="00B60EB4"/>
    <w:rsid w:val="00B63133"/>
    <w:rsid w:val="00B650CD"/>
    <w:rsid w:val="00B66103"/>
    <w:rsid w:val="00B674EF"/>
    <w:rsid w:val="00B677CD"/>
    <w:rsid w:val="00B712CA"/>
    <w:rsid w:val="00B714D8"/>
    <w:rsid w:val="00B72DDD"/>
    <w:rsid w:val="00B80918"/>
    <w:rsid w:val="00B83928"/>
    <w:rsid w:val="00B83E1D"/>
    <w:rsid w:val="00B84AC2"/>
    <w:rsid w:val="00B91E9E"/>
    <w:rsid w:val="00B93FFF"/>
    <w:rsid w:val="00BA1583"/>
    <w:rsid w:val="00BA295F"/>
    <w:rsid w:val="00BA2EAD"/>
    <w:rsid w:val="00BA334B"/>
    <w:rsid w:val="00BA5247"/>
    <w:rsid w:val="00BA699D"/>
    <w:rsid w:val="00BA6ADA"/>
    <w:rsid w:val="00BA71ED"/>
    <w:rsid w:val="00BB0999"/>
    <w:rsid w:val="00BB1AF4"/>
    <w:rsid w:val="00BB36EC"/>
    <w:rsid w:val="00BB4095"/>
    <w:rsid w:val="00BB71FE"/>
    <w:rsid w:val="00BC27B3"/>
    <w:rsid w:val="00BC3803"/>
    <w:rsid w:val="00BC54E1"/>
    <w:rsid w:val="00BC7B36"/>
    <w:rsid w:val="00BD073B"/>
    <w:rsid w:val="00BD1713"/>
    <w:rsid w:val="00BD211A"/>
    <w:rsid w:val="00BD2990"/>
    <w:rsid w:val="00BD33B2"/>
    <w:rsid w:val="00BD75E1"/>
    <w:rsid w:val="00BD7EB2"/>
    <w:rsid w:val="00BD7F3A"/>
    <w:rsid w:val="00BE049C"/>
    <w:rsid w:val="00BE0D7E"/>
    <w:rsid w:val="00BE34DF"/>
    <w:rsid w:val="00BE4A88"/>
    <w:rsid w:val="00BE4E02"/>
    <w:rsid w:val="00BE6767"/>
    <w:rsid w:val="00BE7200"/>
    <w:rsid w:val="00BE77C3"/>
    <w:rsid w:val="00BF2F23"/>
    <w:rsid w:val="00BF31EE"/>
    <w:rsid w:val="00BF3C08"/>
    <w:rsid w:val="00BF4225"/>
    <w:rsid w:val="00BF49A9"/>
    <w:rsid w:val="00BF4B52"/>
    <w:rsid w:val="00BF4D31"/>
    <w:rsid w:val="00BF592C"/>
    <w:rsid w:val="00C05C07"/>
    <w:rsid w:val="00C139F1"/>
    <w:rsid w:val="00C1537F"/>
    <w:rsid w:val="00C169B9"/>
    <w:rsid w:val="00C171E0"/>
    <w:rsid w:val="00C17349"/>
    <w:rsid w:val="00C1790F"/>
    <w:rsid w:val="00C21FF2"/>
    <w:rsid w:val="00C22D92"/>
    <w:rsid w:val="00C246F2"/>
    <w:rsid w:val="00C2753B"/>
    <w:rsid w:val="00C27C9D"/>
    <w:rsid w:val="00C31915"/>
    <w:rsid w:val="00C3349A"/>
    <w:rsid w:val="00C35315"/>
    <w:rsid w:val="00C35B98"/>
    <w:rsid w:val="00C36F90"/>
    <w:rsid w:val="00C37E11"/>
    <w:rsid w:val="00C40C3F"/>
    <w:rsid w:val="00C428C0"/>
    <w:rsid w:val="00C45808"/>
    <w:rsid w:val="00C50D82"/>
    <w:rsid w:val="00C5146A"/>
    <w:rsid w:val="00C563E6"/>
    <w:rsid w:val="00C56A4B"/>
    <w:rsid w:val="00C56CCA"/>
    <w:rsid w:val="00C644B2"/>
    <w:rsid w:val="00C6487D"/>
    <w:rsid w:val="00C67563"/>
    <w:rsid w:val="00C70651"/>
    <w:rsid w:val="00C707C2"/>
    <w:rsid w:val="00C71B0D"/>
    <w:rsid w:val="00C74AE3"/>
    <w:rsid w:val="00C77AD4"/>
    <w:rsid w:val="00C77EDA"/>
    <w:rsid w:val="00C8017C"/>
    <w:rsid w:val="00C80332"/>
    <w:rsid w:val="00C81996"/>
    <w:rsid w:val="00C844CE"/>
    <w:rsid w:val="00C84861"/>
    <w:rsid w:val="00C95354"/>
    <w:rsid w:val="00C95D87"/>
    <w:rsid w:val="00C9781B"/>
    <w:rsid w:val="00C97A0C"/>
    <w:rsid w:val="00C97D8E"/>
    <w:rsid w:val="00CA2BAD"/>
    <w:rsid w:val="00CA3F82"/>
    <w:rsid w:val="00CA403E"/>
    <w:rsid w:val="00CA53B9"/>
    <w:rsid w:val="00CA74C0"/>
    <w:rsid w:val="00CB0495"/>
    <w:rsid w:val="00CB0777"/>
    <w:rsid w:val="00CB15C7"/>
    <w:rsid w:val="00CB44B1"/>
    <w:rsid w:val="00CB56D0"/>
    <w:rsid w:val="00CB7B21"/>
    <w:rsid w:val="00CB7B6A"/>
    <w:rsid w:val="00CB7B9F"/>
    <w:rsid w:val="00CC1335"/>
    <w:rsid w:val="00CC2DA7"/>
    <w:rsid w:val="00CC4065"/>
    <w:rsid w:val="00CC5036"/>
    <w:rsid w:val="00CD2DC5"/>
    <w:rsid w:val="00CD3C1C"/>
    <w:rsid w:val="00CD5746"/>
    <w:rsid w:val="00CD6B6B"/>
    <w:rsid w:val="00CD704B"/>
    <w:rsid w:val="00CD76B5"/>
    <w:rsid w:val="00CE184B"/>
    <w:rsid w:val="00CE3B4D"/>
    <w:rsid w:val="00CE419F"/>
    <w:rsid w:val="00CE77FA"/>
    <w:rsid w:val="00CE78D9"/>
    <w:rsid w:val="00CF168F"/>
    <w:rsid w:val="00CF3242"/>
    <w:rsid w:val="00CF5F84"/>
    <w:rsid w:val="00CF7FC3"/>
    <w:rsid w:val="00D00698"/>
    <w:rsid w:val="00D0119B"/>
    <w:rsid w:val="00D02527"/>
    <w:rsid w:val="00D04A71"/>
    <w:rsid w:val="00D05D57"/>
    <w:rsid w:val="00D117A0"/>
    <w:rsid w:val="00D12CE7"/>
    <w:rsid w:val="00D135CB"/>
    <w:rsid w:val="00D139F3"/>
    <w:rsid w:val="00D13C7B"/>
    <w:rsid w:val="00D16297"/>
    <w:rsid w:val="00D209F9"/>
    <w:rsid w:val="00D2219D"/>
    <w:rsid w:val="00D22EF7"/>
    <w:rsid w:val="00D23CD1"/>
    <w:rsid w:val="00D24D45"/>
    <w:rsid w:val="00D255E0"/>
    <w:rsid w:val="00D256C4"/>
    <w:rsid w:val="00D3130C"/>
    <w:rsid w:val="00D328C1"/>
    <w:rsid w:val="00D35180"/>
    <w:rsid w:val="00D35A89"/>
    <w:rsid w:val="00D35F0D"/>
    <w:rsid w:val="00D3684D"/>
    <w:rsid w:val="00D36EF0"/>
    <w:rsid w:val="00D3768C"/>
    <w:rsid w:val="00D40B4F"/>
    <w:rsid w:val="00D42A13"/>
    <w:rsid w:val="00D42B2C"/>
    <w:rsid w:val="00D44DEA"/>
    <w:rsid w:val="00D4612A"/>
    <w:rsid w:val="00D472E8"/>
    <w:rsid w:val="00D52F81"/>
    <w:rsid w:val="00D535FC"/>
    <w:rsid w:val="00D53BF1"/>
    <w:rsid w:val="00D55657"/>
    <w:rsid w:val="00D566E2"/>
    <w:rsid w:val="00D56788"/>
    <w:rsid w:val="00D576E1"/>
    <w:rsid w:val="00D579DF"/>
    <w:rsid w:val="00D600F5"/>
    <w:rsid w:val="00D6104B"/>
    <w:rsid w:val="00D61CF2"/>
    <w:rsid w:val="00D623A2"/>
    <w:rsid w:val="00D628B1"/>
    <w:rsid w:val="00D641BE"/>
    <w:rsid w:val="00D66F75"/>
    <w:rsid w:val="00D67B8B"/>
    <w:rsid w:val="00D67F43"/>
    <w:rsid w:val="00D73D7F"/>
    <w:rsid w:val="00D7453D"/>
    <w:rsid w:val="00D75D0C"/>
    <w:rsid w:val="00D76359"/>
    <w:rsid w:val="00D8151F"/>
    <w:rsid w:val="00D82548"/>
    <w:rsid w:val="00D84C8E"/>
    <w:rsid w:val="00D851ED"/>
    <w:rsid w:val="00D869F3"/>
    <w:rsid w:val="00D91BAB"/>
    <w:rsid w:val="00D92752"/>
    <w:rsid w:val="00D937A5"/>
    <w:rsid w:val="00D945EE"/>
    <w:rsid w:val="00D97CF5"/>
    <w:rsid w:val="00DA0CD9"/>
    <w:rsid w:val="00DA35DA"/>
    <w:rsid w:val="00DB0129"/>
    <w:rsid w:val="00DB15C0"/>
    <w:rsid w:val="00DB189A"/>
    <w:rsid w:val="00DB6510"/>
    <w:rsid w:val="00DB6A39"/>
    <w:rsid w:val="00DC045A"/>
    <w:rsid w:val="00DC2368"/>
    <w:rsid w:val="00DC353E"/>
    <w:rsid w:val="00DC35C5"/>
    <w:rsid w:val="00DC3795"/>
    <w:rsid w:val="00DC399F"/>
    <w:rsid w:val="00DC6457"/>
    <w:rsid w:val="00DC74F2"/>
    <w:rsid w:val="00DD0FE1"/>
    <w:rsid w:val="00DD2918"/>
    <w:rsid w:val="00DD3126"/>
    <w:rsid w:val="00DD3AB3"/>
    <w:rsid w:val="00DE01EF"/>
    <w:rsid w:val="00DE0C98"/>
    <w:rsid w:val="00DE16FA"/>
    <w:rsid w:val="00DE36DA"/>
    <w:rsid w:val="00DF70C3"/>
    <w:rsid w:val="00E04DE2"/>
    <w:rsid w:val="00E04FB9"/>
    <w:rsid w:val="00E0541E"/>
    <w:rsid w:val="00E062D1"/>
    <w:rsid w:val="00E07684"/>
    <w:rsid w:val="00E1570D"/>
    <w:rsid w:val="00E17E52"/>
    <w:rsid w:val="00E20451"/>
    <w:rsid w:val="00E204ED"/>
    <w:rsid w:val="00E20956"/>
    <w:rsid w:val="00E213A7"/>
    <w:rsid w:val="00E215AA"/>
    <w:rsid w:val="00E2614D"/>
    <w:rsid w:val="00E26E09"/>
    <w:rsid w:val="00E30B07"/>
    <w:rsid w:val="00E31165"/>
    <w:rsid w:val="00E3145F"/>
    <w:rsid w:val="00E32902"/>
    <w:rsid w:val="00E3317B"/>
    <w:rsid w:val="00E33E2F"/>
    <w:rsid w:val="00E414BF"/>
    <w:rsid w:val="00E43BA9"/>
    <w:rsid w:val="00E4460F"/>
    <w:rsid w:val="00E46F14"/>
    <w:rsid w:val="00E477F2"/>
    <w:rsid w:val="00E507EB"/>
    <w:rsid w:val="00E50AB8"/>
    <w:rsid w:val="00E51A4B"/>
    <w:rsid w:val="00E5219A"/>
    <w:rsid w:val="00E54909"/>
    <w:rsid w:val="00E55DF7"/>
    <w:rsid w:val="00E573C3"/>
    <w:rsid w:val="00E57C6D"/>
    <w:rsid w:val="00E57FCD"/>
    <w:rsid w:val="00E60CAD"/>
    <w:rsid w:val="00E61C11"/>
    <w:rsid w:val="00E66103"/>
    <w:rsid w:val="00E66A74"/>
    <w:rsid w:val="00E6732D"/>
    <w:rsid w:val="00E67A4B"/>
    <w:rsid w:val="00E67EBF"/>
    <w:rsid w:val="00E71B25"/>
    <w:rsid w:val="00E7674D"/>
    <w:rsid w:val="00E77570"/>
    <w:rsid w:val="00E801C3"/>
    <w:rsid w:val="00E824F0"/>
    <w:rsid w:val="00E82A6D"/>
    <w:rsid w:val="00E90DF3"/>
    <w:rsid w:val="00E92F0F"/>
    <w:rsid w:val="00E96BD2"/>
    <w:rsid w:val="00E97F8A"/>
    <w:rsid w:val="00EA0BA9"/>
    <w:rsid w:val="00EA2486"/>
    <w:rsid w:val="00EA2B17"/>
    <w:rsid w:val="00EA594E"/>
    <w:rsid w:val="00EA7DAA"/>
    <w:rsid w:val="00EB06BB"/>
    <w:rsid w:val="00EB0F82"/>
    <w:rsid w:val="00EB19F9"/>
    <w:rsid w:val="00EB1AD7"/>
    <w:rsid w:val="00EB3654"/>
    <w:rsid w:val="00EB3B1D"/>
    <w:rsid w:val="00EB3BA4"/>
    <w:rsid w:val="00EB4820"/>
    <w:rsid w:val="00EB4DB1"/>
    <w:rsid w:val="00EB64C8"/>
    <w:rsid w:val="00EC0390"/>
    <w:rsid w:val="00EC2790"/>
    <w:rsid w:val="00EC2AA2"/>
    <w:rsid w:val="00EC56BB"/>
    <w:rsid w:val="00EC662A"/>
    <w:rsid w:val="00ED3210"/>
    <w:rsid w:val="00ED333D"/>
    <w:rsid w:val="00ED4756"/>
    <w:rsid w:val="00ED5218"/>
    <w:rsid w:val="00ED5AE8"/>
    <w:rsid w:val="00ED7BEE"/>
    <w:rsid w:val="00EE10D2"/>
    <w:rsid w:val="00EE11A4"/>
    <w:rsid w:val="00EE144C"/>
    <w:rsid w:val="00EE4612"/>
    <w:rsid w:val="00EE672B"/>
    <w:rsid w:val="00EE6CD6"/>
    <w:rsid w:val="00EF2035"/>
    <w:rsid w:val="00EF4D23"/>
    <w:rsid w:val="00EF7BB5"/>
    <w:rsid w:val="00F006DB"/>
    <w:rsid w:val="00F02CFB"/>
    <w:rsid w:val="00F02E1B"/>
    <w:rsid w:val="00F030F1"/>
    <w:rsid w:val="00F03A41"/>
    <w:rsid w:val="00F04FB3"/>
    <w:rsid w:val="00F07967"/>
    <w:rsid w:val="00F101C4"/>
    <w:rsid w:val="00F1205C"/>
    <w:rsid w:val="00F15115"/>
    <w:rsid w:val="00F227AE"/>
    <w:rsid w:val="00F2294A"/>
    <w:rsid w:val="00F23024"/>
    <w:rsid w:val="00F23974"/>
    <w:rsid w:val="00F23EE7"/>
    <w:rsid w:val="00F240A2"/>
    <w:rsid w:val="00F25964"/>
    <w:rsid w:val="00F30E53"/>
    <w:rsid w:val="00F31F7E"/>
    <w:rsid w:val="00F3350B"/>
    <w:rsid w:val="00F368F0"/>
    <w:rsid w:val="00F37665"/>
    <w:rsid w:val="00F40533"/>
    <w:rsid w:val="00F43089"/>
    <w:rsid w:val="00F43E5D"/>
    <w:rsid w:val="00F43F06"/>
    <w:rsid w:val="00F50F87"/>
    <w:rsid w:val="00F51B0E"/>
    <w:rsid w:val="00F52961"/>
    <w:rsid w:val="00F555E4"/>
    <w:rsid w:val="00F57CF1"/>
    <w:rsid w:val="00F603D1"/>
    <w:rsid w:val="00F61780"/>
    <w:rsid w:val="00F61ACF"/>
    <w:rsid w:val="00F6289C"/>
    <w:rsid w:val="00F6491C"/>
    <w:rsid w:val="00F65E33"/>
    <w:rsid w:val="00F66229"/>
    <w:rsid w:val="00F67C56"/>
    <w:rsid w:val="00F7082E"/>
    <w:rsid w:val="00F70F86"/>
    <w:rsid w:val="00F73F95"/>
    <w:rsid w:val="00F777DB"/>
    <w:rsid w:val="00F77E00"/>
    <w:rsid w:val="00F81592"/>
    <w:rsid w:val="00F81AC8"/>
    <w:rsid w:val="00F81BC9"/>
    <w:rsid w:val="00F83378"/>
    <w:rsid w:val="00F8689E"/>
    <w:rsid w:val="00F8783F"/>
    <w:rsid w:val="00F87C7E"/>
    <w:rsid w:val="00F926F8"/>
    <w:rsid w:val="00F9281C"/>
    <w:rsid w:val="00F93EA4"/>
    <w:rsid w:val="00F93F27"/>
    <w:rsid w:val="00F9597A"/>
    <w:rsid w:val="00F96A41"/>
    <w:rsid w:val="00F971E0"/>
    <w:rsid w:val="00F97887"/>
    <w:rsid w:val="00FA06DF"/>
    <w:rsid w:val="00FA0FCB"/>
    <w:rsid w:val="00FA15E3"/>
    <w:rsid w:val="00FA3090"/>
    <w:rsid w:val="00FA3829"/>
    <w:rsid w:val="00FA4B53"/>
    <w:rsid w:val="00FA4DDA"/>
    <w:rsid w:val="00FA5011"/>
    <w:rsid w:val="00FA677B"/>
    <w:rsid w:val="00FA6B2D"/>
    <w:rsid w:val="00FB5609"/>
    <w:rsid w:val="00FB6B0A"/>
    <w:rsid w:val="00FB7976"/>
    <w:rsid w:val="00FC2515"/>
    <w:rsid w:val="00FC65C8"/>
    <w:rsid w:val="00FC65DA"/>
    <w:rsid w:val="00FC66E4"/>
    <w:rsid w:val="00FD09E6"/>
    <w:rsid w:val="00FD0E8A"/>
    <w:rsid w:val="00FD1228"/>
    <w:rsid w:val="00FD1715"/>
    <w:rsid w:val="00FD596D"/>
    <w:rsid w:val="00FE0023"/>
    <w:rsid w:val="00FE32E4"/>
    <w:rsid w:val="00FE4614"/>
    <w:rsid w:val="00FE4FF6"/>
    <w:rsid w:val="00FE68A5"/>
    <w:rsid w:val="00FE7E6D"/>
    <w:rsid w:val="00FF0A97"/>
    <w:rsid w:val="00FF0ABE"/>
    <w:rsid w:val="00FF1BB2"/>
    <w:rsid w:val="00FF2697"/>
    <w:rsid w:val="00FF3A91"/>
    <w:rsid w:val="00FF4CDE"/>
    <w:rsid w:val="00FF54D2"/>
    <w:rsid w:val="00FF66C8"/>
    <w:rsid w:val="00FF7049"/>
    <w:rsid w:val="00FF7E08"/>
    <w:rsid w:val="013712A3"/>
    <w:rsid w:val="01844594"/>
    <w:rsid w:val="02A4B692"/>
    <w:rsid w:val="02A6A438"/>
    <w:rsid w:val="039118DF"/>
    <w:rsid w:val="04A692CA"/>
    <w:rsid w:val="053AFCE9"/>
    <w:rsid w:val="06166C60"/>
    <w:rsid w:val="06D8D11B"/>
    <w:rsid w:val="07CA035D"/>
    <w:rsid w:val="080CBA0D"/>
    <w:rsid w:val="08AE6D8C"/>
    <w:rsid w:val="0984261F"/>
    <w:rsid w:val="09F260A9"/>
    <w:rsid w:val="0B21BCE8"/>
    <w:rsid w:val="0D40BC91"/>
    <w:rsid w:val="0D5EAA4B"/>
    <w:rsid w:val="0DE83382"/>
    <w:rsid w:val="0E9780D3"/>
    <w:rsid w:val="0EBC9C62"/>
    <w:rsid w:val="0F2D3AA5"/>
    <w:rsid w:val="0F9FE239"/>
    <w:rsid w:val="0FFCE8C0"/>
    <w:rsid w:val="105FF4A7"/>
    <w:rsid w:val="10C56906"/>
    <w:rsid w:val="10EAE93C"/>
    <w:rsid w:val="111B3A13"/>
    <w:rsid w:val="12B12769"/>
    <w:rsid w:val="14947E6F"/>
    <w:rsid w:val="14DDD614"/>
    <w:rsid w:val="14F0FE91"/>
    <w:rsid w:val="16002A20"/>
    <w:rsid w:val="18F9D808"/>
    <w:rsid w:val="19E5FF6E"/>
    <w:rsid w:val="1AB832A7"/>
    <w:rsid w:val="1BC8BEFC"/>
    <w:rsid w:val="1C42FA07"/>
    <w:rsid w:val="1CAA66A4"/>
    <w:rsid w:val="1EBABC27"/>
    <w:rsid w:val="1EC2F0B3"/>
    <w:rsid w:val="1F0FA257"/>
    <w:rsid w:val="1F3D5E8F"/>
    <w:rsid w:val="20388228"/>
    <w:rsid w:val="20CB4E18"/>
    <w:rsid w:val="21644BBE"/>
    <w:rsid w:val="2185CFE5"/>
    <w:rsid w:val="21886B2E"/>
    <w:rsid w:val="223013F5"/>
    <w:rsid w:val="23C6943C"/>
    <w:rsid w:val="24835B9B"/>
    <w:rsid w:val="24AD592D"/>
    <w:rsid w:val="2A1B98F6"/>
    <w:rsid w:val="2A76CE7D"/>
    <w:rsid w:val="2AAC2F2E"/>
    <w:rsid w:val="2AD8AB74"/>
    <w:rsid w:val="2B8744A7"/>
    <w:rsid w:val="2B8E40A6"/>
    <w:rsid w:val="2C38ABF4"/>
    <w:rsid w:val="2DBCDCF7"/>
    <w:rsid w:val="2EC6DD87"/>
    <w:rsid w:val="2EDECB61"/>
    <w:rsid w:val="2F5944D0"/>
    <w:rsid w:val="2F8F6865"/>
    <w:rsid w:val="2FC5A99B"/>
    <w:rsid w:val="305D5113"/>
    <w:rsid w:val="30E2DD40"/>
    <w:rsid w:val="310B4836"/>
    <w:rsid w:val="3167A11A"/>
    <w:rsid w:val="3347397A"/>
    <w:rsid w:val="334F8AAC"/>
    <w:rsid w:val="3423A510"/>
    <w:rsid w:val="3438DBF6"/>
    <w:rsid w:val="35314E1B"/>
    <w:rsid w:val="353EBD08"/>
    <w:rsid w:val="35DACE11"/>
    <w:rsid w:val="3619D51C"/>
    <w:rsid w:val="385DE5BC"/>
    <w:rsid w:val="394A8572"/>
    <w:rsid w:val="3A5D4EE4"/>
    <w:rsid w:val="3B85DF3E"/>
    <w:rsid w:val="3CB89940"/>
    <w:rsid w:val="3CED5D0A"/>
    <w:rsid w:val="3DD36568"/>
    <w:rsid w:val="3E5A90BF"/>
    <w:rsid w:val="3EDCB950"/>
    <w:rsid w:val="4036D01B"/>
    <w:rsid w:val="40692A72"/>
    <w:rsid w:val="40CD971F"/>
    <w:rsid w:val="417B0CF5"/>
    <w:rsid w:val="41B1BD93"/>
    <w:rsid w:val="44C41B5F"/>
    <w:rsid w:val="44C87C15"/>
    <w:rsid w:val="44EA2875"/>
    <w:rsid w:val="46C7258C"/>
    <w:rsid w:val="48F3ACF9"/>
    <w:rsid w:val="49672A69"/>
    <w:rsid w:val="4A5C26E4"/>
    <w:rsid w:val="4B15FC09"/>
    <w:rsid w:val="4C50EA97"/>
    <w:rsid w:val="4E8853E7"/>
    <w:rsid w:val="4ECD1805"/>
    <w:rsid w:val="4FC199AE"/>
    <w:rsid w:val="4FE6E80E"/>
    <w:rsid w:val="504D15BD"/>
    <w:rsid w:val="50E2BECA"/>
    <w:rsid w:val="50F865EA"/>
    <w:rsid w:val="5163CE96"/>
    <w:rsid w:val="51AEC040"/>
    <w:rsid w:val="51DE6E48"/>
    <w:rsid w:val="52EFF7B7"/>
    <w:rsid w:val="56BE6B10"/>
    <w:rsid w:val="57D0DB01"/>
    <w:rsid w:val="57D1FDD0"/>
    <w:rsid w:val="57DF1FF2"/>
    <w:rsid w:val="587BE7D1"/>
    <w:rsid w:val="5889586F"/>
    <w:rsid w:val="58BD84C1"/>
    <w:rsid w:val="5968174D"/>
    <w:rsid w:val="597EABDC"/>
    <w:rsid w:val="59D06363"/>
    <w:rsid w:val="59EF800D"/>
    <w:rsid w:val="5B806E8B"/>
    <w:rsid w:val="5B9CE554"/>
    <w:rsid w:val="5C43F6A3"/>
    <w:rsid w:val="5CF08D44"/>
    <w:rsid w:val="5D1FCAC1"/>
    <w:rsid w:val="5FB13AE6"/>
    <w:rsid w:val="5FC81638"/>
    <w:rsid w:val="607CE121"/>
    <w:rsid w:val="622EB2B1"/>
    <w:rsid w:val="62EBF705"/>
    <w:rsid w:val="63A6C849"/>
    <w:rsid w:val="65920BDA"/>
    <w:rsid w:val="65D6E623"/>
    <w:rsid w:val="663ABC53"/>
    <w:rsid w:val="6640BB38"/>
    <w:rsid w:val="664C5BD1"/>
    <w:rsid w:val="66609698"/>
    <w:rsid w:val="672A5066"/>
    <w:rsid w:val="67414DB4"/>
    <w:rsid w:val="67835ADE"/>
    <w:rsid w:val="67D98CA4"/>
    <w:rsid w:val="696C418A"/>
    <w:rsid w:val="697E8524"/>
    <w:rsid w:val="6989BF0A"/>
    <w:rsid w:val="6A049C25"/>
    <w:rsid w:val="6BD03822"/>
    <w:rsid w:val="6BDDA8C0"/>
    <w:rsid w:val="6BDFA1F9"/>
    <w:rsid w:val="6C35C35B"/>
    <w:rsid w:val="6C37AF57"/>
    <w:rsid w:val="6C99323F"/>
    <w:rsid w:val="6CCE6BC3"/>
    <w:rsid w:val="6EE0F6ED"/>
    <w:rsid w:val="6F31FDB4"/>
    <w:rsid w:val="6F6B4972"/>
    <w:rsid w:val="6F972397"/>
    <w:rsid w:val="6FA39816"/>
    <w:rsid w:val="6FBA6293"/>
    <w:rsid w:val="6FC09449"/>
    <w:rsid w:val="705D0573"/>
    <w:rsid w:val="70F2E9A4"/>
    <w:rsid w:val="7197D0DF"/>
    <w:rsid w:val="72201F93"/>
    <w:rsid w:val="723AB34E"/>
    <w:rsid w:val="727FE7A6"/>
    <w:rsid w:val="72C16F66"/>
    <w:rsid w:val="73DAD9CD"/>
    <w:rsid w:val="73FD283D"/>
    <w:rsid w:val="7424FAC0"/>
    <w:rsid w:val="7480621D"/>
    <w:rsid w:val="775DD5F9"/>
    <w:rsid w:val="7772F6C0"/>
    <w:rsid w:val="78D29D31"/>
    <w:rsid w:val="7997F54E"/>
    <w:rsid w:val="7A54E067"/>
    <w:rsid w:val="7CB1E6BA"/>
    <w:rsid w:val="7CC8DBAF"/>
    <w:rsid w:val="7D598F81"/>
    <w:rsid w:val="7ED51448"/>
    <w:rsid w:val="7F7CEFE0"/>
    <w:rsid w:val="7FA32ECC"/>
    <w:rsid w:val="7FD6B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018D9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CD"/>
    <w:rPr>
      <w:rFonts w:ascii="Arial" w:hAnsi="Arial"/>
      <w:sz w:val="22"/>
    </w:rPr>
  </w:style>
  <w:style w:type="paragraph" w:styleId="Heading1">
    <w:name w:val="heading 1"/>
    <w:basedOn w:val="Normal"/>
    <w:next w:val="Heading2Councilblue"/>
    <w:link w:val="Heading1Char"/>
    <w:qFormat/>
    <w:rsid w:val="005F7711"/>
    <w:pPr>
      <w:keepNext/>
      <w:keepLines/>
      <w:spacing w:before="240"/>
      <w:outlineLvl w:val="0"/>
    </w:pPr>
    <w:rPr>
      <w:rFonts w:eastAsiaTheme="majorEastAsia" w:cstheme="majorBidi"/>
      <w:b/>
      <w:color w:val="0067B1"/>
      <w:sz w:val="32"/>
      <w:szCs w:val="32"/>
    </w:rPr>
  </w:style>
  <w:style w:type="paragraph" w:styleId="Heading2">
    <w:name w:val="heading 2"/>
    <w:aliases w:val="Heading 2 (black)"/>
    <w:basedOn w:val="Normal"/>
    <w:next w:val="Normal"/>
    <w:link w:val="Heading2Char"/>
    <w:uiPriority w:val="9"/>
    <w:unhideWhenUsed/>
    <w:qFormat/>
    <w:rsid w:val="006D7DCD"/>
    <w:pPr>
      <w:keepNext/>
      <w:keepLines/>
      <w:spacing w:after="160"/>
      <w:outlineLvl w:val="1"/>
    </w:pPr>
    <w:rPr>
      <w:rFonts w:eastAsiaTheme="majorEastAsia" w:cstheme="majorBidi"/>
      <w:b/>
      <w:sz w:val="36"/>
      <w:szCs w:val="26"/>
    </w:rPr>
  </w:style>
  <w:style w:type="paragraph" w:styleId="Heading3">
    <w:name w:val="heading 3"/>
    <w:aliases w:val="Heading 3 (black)"/>
    <w:basedOn w:val="Normal"/>
    <w:next w:val="Normal"/>
    <w:link w:val="Heading3Char"/>
    <w:uiPriority w:val="9"/>
    <w:unhideWhenUsed/>
    <w:qFormat/>
    <w:rsid w:val="006D7DCD"/>
    <w:pPr>
      <w:keepNext/>
      <w:keepLines/>
      <w:spacing w:after="160"/>
      <w:outlineLvl w:val="2"/>
    </w:pPr>
    <w:rPr>
      <w:rFonts w:eastAsiaTheme="majorEastAsia" w:cstheme="majorBidi"/>
      <w:b/>
      <w:sz w:val="32"/>
    </w:rPr>
  </w:style>
  <w:style w:type="paragraph" w:styleId="Heading4">
    <w:name w:val="heading 4"/>
    <w:basedOn w:val="Normal"/>
    <w:next w:val="Normal"/>
    <w:link w:val="Heading4Char"/>
    <w:uiPriority w:val="9"/>
    <w:semiHidden/>
    <w:unhideWhenUsed/>
    <w:rsid w:val="006D7D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FC6"/>
    <w:pPr>
      <w:tabs>
        <w:tab w:val="center" w:pos="4513"/>
        <w:tab w:val="right" w:pos="9026"/>
      </w:tabs>
    </w:pPr>
  </w:style>
  <w:style w:type="character" w:customStyle="1" w:styleId="HeaderChar">
    <w:name w:val="Header Char"/>
    <w:basedOn w:val="DefaultParagraphFont"/>
    <w:link w:val="Header"/>
    <w:uiPriority w:val="99"/>
    <w:rsid w:val="004C0FC6"/>
  </w:style>
  <w:style w:type="paragraph" w:styleId="Footer">
    <w:name w:val="footer"/>
    <w:basedOn w:val="Normal"/>
    <w:link w:val="FooterChar"/>
    <w:uiPriority w:val="99"/>
    <w:unhideWhenUsed/>
    <w:rsid w:val="004C0FC6"/>
    <w:pPr>
      <w:tabs>
        <w:tab w:val="center" w:pos="4513"/>
        <w:tab w:val="right" w:pos="9026"/>
      </w:tabs>
    </w:pPr>
  </w:style>
  <w:style w:type="character" w:customStyle="1" w:styleId="FooterChar">
    <w:name w:val="Footer Char"/>
    <w:basedOn w:val="DefaultParagraphFont"/>
    <w:link w:val="Footer"/>
    <w:uiPriority w:val="99"/>
    <w:rsid w:val="004C0FC6"/>
  </w:style>
  <w:style w:type="paragraph" w:styleId="Title">
    <w:name w:val="Title"/>
    <w:basedOn w:val="Normal"/>
    <w:next w:val="Normal"/>
    <w:link w:val="TitleChar"/>
    <w:uiPriority w:val="10"/>
    <w:qFormat/>
    <w:rsid w:val="006D7DCD"/>
    <w:pPr>
      <w:contextualSpacing/>
    </w:pPr>
    <w:rPr>
      <w:rFonts w:eastAsiaTheme="majorEastAsia"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6D7DCD"/>
    <w:rPr>
      <w:rFonts w:ascii="Arial" w:eastAsiaTheme="majorEastAsia" w:hAnsi="Arial" w:cstheme="majorBidi"/>
      <w:b/>
      <w:color w:val="FFFFFF" w:themeColor="background1"/>
      <w:spacing w:val="-10"/>
      <w:kern w:val="28"/>
      <w:sz w:val="56"/>
      <w:szCs w:val="56"/>
    </w:rPr>
  </w:style>
  <w:style w:type="character" w:customStyle="1" w:styleId="Heading2Char">
    <w:name w:val="Heading 2 Char"/>
    <w:aliases w:val="Heading 2 (black) Char"/>
    <w:basedOn w:val="DefaultParagraphFont"/>
    <w:link w:val="Heading2"/>
    <w:uiPriority w:val="9"/>
    <w:rsid w:val="006D7DCD"/>
    <w:rPr>
      <w:rFonts w:ascii="Arial" w:eastAsiaTheme="majorEastAsia" w:hAnsi="Arial" w:cstheme="majorBidi"/>
      <w:b/>
      <w:sz w:val="36"/>
      <w:szCs w:val="26"/>
    </w:rPr>
  </w:style>
  <w:style w:type="character" w:customStyle="1" w:styleId="Heading3Char">
    <w:name w:val="Heading 3 Char"/>
    <w:aliases w:val="Heading 3 (black) Char"/>
    <w:basedOn w:val="DefaultParagraphFont"/>
    <w:link w:val="Heading3"/>
    <w:uiPriority w:val="9"/>
    <w:rsid w:val="006D7DCD"/>
    <w:rPr>
      <w:rFonts w:ascii="Arial" w:eastAsiaTheme="majorEastAsia" w:hAnsi="Arial" w:cstheme="majorBidi"/>
      <w:b/>
      <w:sz w:val="32"/>
    </w:rPr>
  </w:style>
  <w:style w:type="paragraph" w:styleId="ListParagraph">
    <w:name w:val="List Paragraph"/>
    <w:basedOn w:val="Normal"/>
    <w:uiPriority w:val="34"/>
    <w:qFormat/>
    <w:rsid w:val="006D7DCD"/>
    <w:pPr>
      <w:ind w:left="720"/>
      <w:contextualSpacing/>
    </w:pPr>
  </w:style>
  <w:style w:type="paragraph" w:customStyle="1" w:styleId="Heading4black">
    <w:name w:val="Heading 4 (black)"/>
    <w:basedOn w:val="Heading4"/>
    <w:link w:val="Heading4blackChar"/>
    <w:qFormat/>
    <w:rsid w:val="006D7DCD"/>
    <w:pPr>
      <w:keepNext w:val="0"/>
      <w:keepLines w:val="0"/>
      <w:spacing w:before="0" w:after="160" w:line="259" w:lineRule="auto"/>
    </w:pPr>
    <w:rPr>
      <w:rFonts w:ascii="Arial" w:eastAsiaTheme="minorHAnsi" w:hAnsi="Arial" w:cs="Arial"/>
      <w:b/>
      <w:i w:val="0"/>
      <w:iCs w:val="0"/>
      <w:color w:val="auto"/>
      <w:sz w:val="28"/>
      <w:szCs w:val="32"/>
      <w:lang w:val="en-AU"/>
    </w:rPr>
  </w:style>
  <w:style w:type="character" w:customStyle="1" w:styleId="Heading4blackChar">
    <w:name w:val="Heading 4 (black) Char"/>
    <w:basedOn w:val="DefaultParagraphFont"/>
    <w:link w:val="Heading4black"/>
    <w:rsid w:val="006D7DCD"/>
    <w:rPr>
      <w:rFonts w:ascii="Arial" w:hAnsi="Arial" w:cs="Arial"/>
      <w:b/>
      <w:sz w:val="28"/>
      <w:szCs w:val="32"/>
      <w:lang w:val="en-AU"/>
    </w:rPr>
  </w:style>
  <w:style w:type="paragraph" w:customStyle="1" w:styleId="NormalCouncilblue">
    <w:name w:val="Normal (Council blue)"/>
    <w:basedOn w:val="Normal"/>
    <w:link w:val="NormalCouncilblueChar"/>
    <w:qFormat/>
    <w:rsid w:val="00E66A74"/>
    <w:pPr>
      <w:spacing w:after="160" w:line="259" w:lineRule="auto"/>
    </w:pPr>
    <w:rPr>
      <w:rFonts w:cs="Arial"/>
      <w:color w:val="0067B1"/>
      <w:szCs w:val="22"/>
      <w:lang w:val="en-AU"/>
    </w:rPr>
  </w:style>
  <w:style w:type="character" w:customStyle="1" w:styleId="NormalCouncilblueChar">
    <w:name w:val="Normal (Council blue) Char"/>
    <w:basedOn w:val="DefaultParagraphFont"/>
    <w:link w:val="NormalCouncilblue"/>
    <w:rsid w:val="00E66A74"/>
    <w:rPr>
      <w:rFonts w:ascii="Arial" w:hAnsi="Arial" w:cs="Arial"/>
      <w:color w:val="0067B1"/>
      <w:sz w:val="22"/>
      <w:szCs w:val="22"/>
      <w:lang w:val="en-AU"/>
    </w:rPr>
  </w:style>
  <w:style w:type="character" w:styleId="Hyperlink">
    <w:name w:val="Hyperlink"/>
    <w:basedOn w:val="DefaultParagraphFont"/>
    <w:uiPriority w:val="99"/>
    <w:unhideWhenUsed/>
    <w:rsid w:val="006D7DCD"/>
    <w:rPr>
      <w:color w:val="0563C1" w:themeColor="hyperlink"/>
      <w:u w:val="single"/>
    </w:rPr>
  </w:style>
  <w:style w:type="paragraph" w:customStyle="1" w:styleId="Heading2Councilblue">
    <w:name w:val="Heading 2 (Council blue)"/>
    <w:basedOn w:val="Heading1"/>
    <w:next w:val="Normal"/>
    <w:link w:val="Heading2CouncilblueChar"/>
    <w:qFormat/>
    <w:rsid w:val="00E30B07"/>
    <w:rPr>
      <w:rFonts w:eastAsia="Times New Roman"/>
      <w:snapToGrid w:val="0"/>
      <w:sz w:val="28"/>
      <w:lang w:val="en-AU"/>
    </w:rPr>
  </w:style>
  <w:style w:type="paragraph" w:customStyle="1" w:styleId="Heading3Councilblue">
    <w:name w:val="Heading 3 (Council blue)"/>
    <w:basedOn w:val="Heading2Councilblue"/>
    <w:link w:val="Heading3CouncilblueChar"/>
    <w:qFormat/>
    <w:rsid w:val="006D7DCD"/>
    <w:rPr>
      <w:sz w:val="32"/>
    </w:rPr>
  </w:style>
  <w:style w:type="character" w:customStyle="1" w:styleId="Heading2CouncilblueChar">
    <w:name w:val="Heading 2 (Council blue) Char"/>
    <w:basedOn w:val="Heading4blackChar"/>
    <w:link w:val="Heading2Councilblue"/>
    <w:rsid w:val="00E30B07"/>
    <w:rPr>
      <w:rFonts w:ascii="Arial" w:eastAsia="Times New Roman" w:hAnsi="Arial" w:cstheme="majorBidi"/>
      <w:b/>
      <w:snapToGrid w:val="0"/>
      <w:color w:val="0067B1"/>
      <w:sz w:val="28"/>
      <w:szCs w:val="32"/>
      <w:lang w:val="en-AU"/>
    </w:rPr>
  </w:style>
  <w:style w:type="paragraph" w:customStyle="1" w:styleId="Heading4Councilblue">
    <w:name w:val="Heading 4 (Council blue)"/>
    <w:basedOn w:val="Heading3Councilblue"/>
    <w:link w:val="Heading4CouncilblueChar"/>
    <w:qFormat/>
    <w:rsid w:val="006D7DCD"/>
    <w:rPr>
      <w:sz w:val="28"/>
    </w:rPr>
  </w:style>
  <w:style w:type="character" w:customStyle="1" w:styleId="Heading3CouncilblueChar">
    <w:name w:val="Heading 3 (Council blue) Char"/>
    <w:basedOn w:val="Heading2CouncilblueChar"/>
    <w:link w:val="Heading3Councilblue"/>
    <w:rsid w:val="006D7DCD"/>
    <w:rPr>
      <w:rFonts w:ascii="Arial" w:eastAsia="Times New Roman" w:hAnsi="Arial" w:cs="Arial"/>
      <w:b/>
      <w:snapToGrid w:val="0"/>
      <w:color w:val="0067B1"/>
      <w:sz w:val="32"/>
      <w:szCs w:val="32"/>
      <w:lang w:val="en-AU"/>
    </w:rPr>
  </w:style>
  <w:style w:type="paragraph" w:customStyle="1" w:styleId="Reverseheading1-black">
    <w:name w:val="Reverse heading 1 - black"/>
    <w:basedOn w:val="Normal"/>
    <w:link w:val="Reverseheading1-blackChar"/>
    <w:qFormat/>
    <w:rsid w:val="006D7DCD"/>
    <w:pPr>
      <w:shd w:val="clear" w:color="auto" w:fill="000000"/>
      <w:spacing w:after="160" w:line="259" w:lineRule="auto"/>
      <w:ind w:left="142" w:right="281"/>
      <w:outlineLvl w:val="4"/>
    </w:pPr>
    <w:rPr>
      <w:rFonts w:eastAsia="Calibri" w:cs="Arial"/>
      <w:b/>
      <w:sz w:val="48"/>
      <w:szCs w:val="22"/>
      <w:lang w:val="en-AU"/>
    </w:rPr>
  </w:style>
  <w:style w:type="character" w:customStyle="1" w:styleId="Heading4CouncilblueChar">
    <w:name w:val="Heading 4 (Council blue) Char"/>
    <w:basedOn w:val="Heading3CouncilblueChar"/>
    <w:link w:val="Heading4Councilblue"/>
    <w:rsid w:val="006D7DCD"/>
    <w:rPr>
      <w:rFonts w:ascii="Arial" w:eastAsia="Times New Roman" w:hAnsi="Arial" w:cs="Arial"/>
      <w:b/>
      <w:snapToGrid w:val="0"/>
      <w:color w:val="0067B1"/>
      <w:sz w:val="28"/>
      <w:szCs w:val="32"/>
      <w:lang w:val="en-AU"/>
    </w:rPr>
  </w:style>
  <w:style w:type="paragraph" w:customStyle="1" w:styleId="Reverseheading1-blue">
    <w:name w:val="Reverse heading 1 - blue"/>
    <w:basedOn w:val="Normal"/>
    <w:link w:val="Reverseheading1-blueChar"/>
    <w:qFormat/>
    <w:rsid w:val="006D7DCD"/>
    <w:pPr>
      <w:shd w:val="clear" w:color="auto" w:fill="0067B1"/>
      <w:spacing w:after="160" w:line="259" w:lineRule="auto"/>
      <w:ind w:left="142" w:right="281"/>
      <w:outlineLvl w:val="5"/>
    </w:pPr>
    <w:rPr>
      <w:rFonts w:eastAsia="Calibri" w:cs="Arial"/>
      <w:b/>
      <w:color w:val="FFFFFF"/>
      <w:sz w:val="48"/>
      <w:szCs w:val="32"/>
      <w:lang w:val="en-AU"/>
    </w:rPr>
  </w:style>
  <w:style w:type="character" w:customStyle="1" w:styleId="Reverseheading1-blackChar">
    <w:name w:val="Reverse heading 1 - black Char"/>
    <w:basedOn w:val="DefaultParagraphFont"/>
    <w:link w:val="Reverseheading1-black"/>
    <w:rsid w:val="006D7DCD"/>
    <w:rPr>
      <w:rFonts w:ascii="Arial" w:eastAsia="Calibri" w:hAnsi="Arial" w:cs="Arial"/>
      <w:b/>
      <w:sz w:val="48"/>
      <w:szCs w:val="22"/>
      <w:shd w:val="clear" w:color="auto" w:fill="000000"/>
      <w:lang w:val="en-AU"/>
    </w:rPr>
  </w:style>
  <w:style w:type="character" w:customStyle="1" w:styleId="Reverseheading1-blueChar">
    <w:name w:val="Reverse heading 1 - blue Char"/>
    <w:basedOn w:val="DefaultParagraphFont"/>
    <w:link w:val="Reverseheading1-blue"/>
    <w:rsid w:val="006D7DCD"/>
    <w:rPr>
      <w:rFonts w:ascii="Arial" w:eastAsia="Calibri" w:hAnsi="Arial" w:cs="Arial"/>
      <w:b/>
      <w:color w:val="FFFFFF"/>
      <w:sz w:val="48"/>
      <w:szCs w:val="32"/>
      <w:shd w:val="clear" w:color="auto" w:fill="0067B1"/>
      <w:lang w:val="en-AU"/>
    </w:rPr>
  </w:style>
  <w:style w:type="character" w:customStyle="1" w:styleId="Heading4Char">
    <w:name w:val="Heading 4 Char"/>
    <w:basedOn w:val="DefaultParagraphFont"/>
    <w:link w:val="Heading4"/>
    <w:uiPriority w:val="9"/>
    <w:semiHidden/>
    <w:rsid w:val="006D7DCD"/>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386B1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B12"/>
    <w:pPr>
      <w:autoSpaceDE w:val="0"/>
      <w:autoSpaceDN w:val="0"/>
      <w:adjustRightInd w:val="0"/>
    </w:pPr>
    <w:rPr>
      <w:rFonts w:ascii="Arial" w:hAnsi="Arial" w:cs="Arial"/>
      <w:color w:val="000000"/>
      <w:lang w:val="en-AU"/>
    </w:rPr>
  </w:style>
  <w:style w:type="table" w:styleId="ListTable3-Accent1">
    <w:name w:val="List Table 3 Accent 1"/>
    <w:basedOn w:val="TableNormal"/>
    <w:uiPriority w:val="48"/>
    <w:rsid w:val="00386B12"/>
    <w:rPr>
      <w:sz w:val="22"/>
      <w:szCs w:val="22"/>
      <w:lang w:val="en-A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1Char">
    <w:name w:val="Heading 1 Char"/>
    <w:basedOn w:val="DefaultParagraphFont"/>
    <w:link w:val="Heading1"/>
    <w:rsid w:val="005F7711"/>
    <w:rPr>
      <w:rFonts w:ascii="Arial" w:eastAsiaTheme="majorEastAsia" w:hAnsi="Arial" w:cstheme="majorBidi"/>
      <w:b/>
      <w:color w:val="0067B1"/>
      <w:sz w:val="32"/>
      <w:szCs w:val="32"/>
    </w:rPr>
  </w:style>
  <w:style w:type="paragraph" w:styleId="TOCHeading">
    <w:name w:val="TOC Heading"/>
    <w:basedOn w:val="Heading1"/>
    <w:next w:val="Normal"/>
    <w:uiPriority w:val="39"/>
    <w:unhideWhenUsed/>
    <w:qFormat/>
    <w:rsid w:val="008A3305"/>
    <w:pPr>
      <w:spacing w:line="259" w:lineRule="auto"/>
      <w:outlineLvl w:val="9"/>
    </w:pPr>
    <w:rPr>
      <w:lang w:val="en-US"/>
    </w:rPr>
  </w:style>
  <w:style w:type="paragraph" w:styleId="TOC2">
    <w:name w:val="toc 2"/>
    <w:basedOn w:val="Normal"/>
    <w:next w:val="Normal"/>
    <w:autoRedefine/>
    <w:uiPriority w:val="39"/>
    <w:unhideWhenUsed/>
    <w:rsid w:val="008A3305"/>
    <w:pPr>
      <w:spacing w:after="100" w:line="259" w:lineRule="auto"/>
      <w:ind w:left="220"/>
    </w:pPr>
    <w:rPr>
      <w:rFonts w:asciiTheme="minorHAnsi" w:eastAsiaTheme="minorEastAsia" w:hAnsiTheme="minorHAnsi" w:cs="Times New Roman"/>
      <w:szCs w:val="22"/>
      <w:lang w:val="en-US"/>
    </w:rPr>
  </w:style>
  <w:style w:type="paragraph" w:styleId="TOC1">
    <w:name w:val="toc 1"/>
    <w:basedOn w:val="Normal"/>
    <w:next w:val="Normal"/>
    <w:autoRedefine/>
    <w:uiPriority w:val="39"/>
    <w:unhideWhenUsed/>
    <w:rsid w:val="008A3305"/>
    <w:pPr>
      <w:spacing w:after="100" w:line="259" w:lineRule="auto"/>
    </w:pPr>
    <w:rPr>
      <w:rFonts w:asciiTheme="minorHAnsi" w:eastAsiaTheme="minorEastAsia" w:hAnsiTheme="minorHAnsi" w:cs="Times New Roman"/>
      <w:szCs w:val="22"/>
      <w:lang w:val="en-US"/>
    </w:rPr>
  </w:style>
  <w:style w:type="paragraph" w:styleId="TOC3">
    <w:name w:val="toc 3"/>
    <w:basedOn w:val="Normal"/>
    <w:next w:val="Normal"/>
    <w:autoRedefine/>
    <w:uiPriority w:val="39"/>
    <w:unhideWhenUsed/>
    <w:rsid w:val="008A3305"/>
    <w:pPr>
      <w:spacing w:after="100" w:line="259" w:lineRule="auto"/>
      <w:ind w:left="440"/>
    </w:pPr>
    <w:rPr>
      <w:rFonts w:asciiTheme="minorHAnsi" w:eastAsiaTheme="minorEastAsia" w:hAnsiTheme="minorHAnsi" w:cs="Times New Roman"/>
      <w:szCs w:val="22"/>
      <w:lang w:val="en-US"/>
    </w:rPr>
  </w:style>
  <w:style w:type="paragraph" w:customStyle="1" w:styleId="Heading1Councilblue">
    <w:name w:val="Heading 1 (Council blue)"/>
    <w:basedOn w:val="Normal"/>
    <w:next w:val="Normal"/>
    <w:link w:val="Heading1CouncilblueChar"/>
    <w:qFormat/>
    <w:rsid w:val="00261A36"/>
    <w:rPr>
      <w:b/>
      <w:color w:val="0067B1"/>
      <w:sz w:val="50"/>
      <w:szCs w:val="30"/>
    </w:rPr>
  </w:style>
  <w:style w:type="character" w:styleId="CommentReference">
    <w:name w:val="annotation reference"/>
    <w:basedOn w:val="DefaultParagraphFont"/>
    <w:uiPriority w:val="99"/>
    <w:semiHidden/>
    <w:unhideWhenUsed/>
    <w:rsid w:val="000B7A2A"/>
    <w:rPr>
      <w:sz w:val="16"/>
      <w:szCs w:val="16"/>
    </w:rPr>
  </w:style>
  <w:style w:type="character" w:customStyle="1" w:styleId="Heading1CouncilblueChar">
    <w:name w:val="Heading 1 (Council blue) Char"/>
    <w:basedOn w:val="Heading2CouncilblueChar"/>
    <w:link w:val="Heading1Councilblue"/>
    <w:rsid w:val="00261A36"/>
    <w:rPr>
      <w:rFonts w:ascii="Arial" w:eastAsia="Times New Roman" w:hAnsi="Arial" w:cstheme="majorBidi"/>
      <w:b/>
      <w:snapToGrid w:val="0"/>
      <w:color w:val="0067B1"/>
      <w:sz w:val="50"/>
      <w:szCs w:val="30"/>
      <w:lang w:val="en-AU"/>
    </w:rPr>
  </w:style>
  <w:style w:type="paragraph" w:styleId="CommentText">
    <w:name w:val="annotation text"/>
    <w:basedOn w:val="Normal"/>
    <w:link w:val="CommentTextChar"/>
    <w:uiPriority w:val="99"/>
    <w:semiHidden/>
    <w:unhideWhenUsed/>
    <w:rsid w:val="000B7A2A"/>
    <w:rPr>
      <w:sz w:val="20"/>
      <w:szCs w:val="20"/>
    </w:rPr>
  </w:style>
  <w:style w:type="character" w:customStyle="1" w:styleId="CommentTextChar">
    <w:name w:val="Comment Text Char"/>
    <w:basedOn w:val="DefaultParagraphFont"/>
    <w:link w:val="CommentText"/>
    <w:uiPriority w:val="99"/>
    <w:semiHidden/>
    <w:rsid w:val="000B7A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7A2A"/>
    <w:rPr>
      <w:b/>
      <w:bCs/>
    </w:rPr>
  </w:style>
  <w:style w:type="character" w:customStyle="1" w:styleId="CommentSubjectChar">
    <w:name w:val="Comment Subject Char"/>
    <w:basedOn w:val="CommentTextChar"/>
    <w:link w:val="CommentSubject"/>
    <w:uiPriority w:val="99"/>
    <w:semiHidden/>
    <w:rsid w:val="000B7A2A"/>
    <w:rPr>
      <w:rFonts w:ascii="Arial" w:hAnsi="Arial"/>
      <w:b/>
      <w:bCs/>
      <w:sz w:val="20"/>
      <w:szCs w:val="20"/>
    </w:rPr>
  </w:style>
  <w:style w:type="paragraph" w:customStyle="1" w:styleId="Heading2Council">
    <w:name w:val="Heading 2 (Council)"/>
    <w:next w:val="Normal"/>
    <w:link w:val="Heading2CouncilChar"/>
    <w:rsid w:val="00106EFB"/>
    <w:pPr>
      <w:widowControl w:val="0"/>
      <w:tabs>
        <w:tab w:val="left" w:pos="-720"/>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eastAsia="Times New Roman" w:hAnsi="Arial" w:cs="Arial"/>
      <w:b/>
      <w:snapToGrid w:val="0"/>
      <w:color w:val="0067B1"/>
      <w:sz w:val="28"/>
      <w:szCs w:val="28"/>
      <w:lang w:val="en-AU"/>
    </w:rPr>
  </w:style>
  <w:style w:type="character" w:styleId="UnresolvedMention">
    <w:name w:val="Unresolved Mention"/>
    <w:basedOn w:val="DefaultParagraphFont"/>
    <w:uiPriority w:val="99"/>
    <w:unhideWhenUsed/>
    <w:rsid w:val="007E3D9D"/>
    <w:rPr>
      <w:color w:val="605E5C"/>
      <w:shd w:val="clear" w:color="auto" w:fill="E1DFDD"/>
    </w:rPr>
  </w:style>
  <w:style w:type="character" w:customStyle="1" w:styleId="Heading2CouncilChar">
    <w:name w:val="Heading 2 (Council) Char"/>
    <w:basedOn w:val="Heading2CouncilblueChar"/>
    <w:link w:val="Heading2Council"/>
    <w:rsid w:val="00106EFB"/>
    <w:rPr>
      <w:rFonts w:ascii="Arial" w:eastAsia="Times New Roman" w:hAnsi="Arial" w:cs="Arial"/>
      <w:b/>
      <w:snapToGrid w:val="0"/>
      <w:color w:val="0067B1"/>
      <w:sz w:val="28"/>
      <w:szCs w:val="28"/>
      <w:lang w:val="en-AU"/>
    </w:rPr>
  </w:style>
  <w:style w:type="character" w:styleId="Mention">
    <w:name w:val="Mention"/>
    <w:basedOn w:val="DefaultParagraphFont"/>
    <w:uiPriority w:val="99"/>
    <w:unhideWhenUsed/>
    <w:rsid w:val="007E3D9D"/>
    <w:rPr>
      <w:color w:val="2B579A"/>
      <w:shd w:val="clear" w:color="auto" w:fill="E1DFDD"/>
    </w:rPr>
  </w:style>
  <w:style w:type="table" w:styleId="PlainTable2">
    <w:name w:val="Plain Table 2"/>
    <w:basedOn w:val="TableNormal"/>
    <w:uiPriority w:val="42"/>
    <w:rsid w:val="00ED32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msonormal">
    <w:name w:val="x_msonormal"/>
    <w:basedOn w:val="Normal"/>
    <w:rsid w:val="00C1537F"/>
    <w:rPr>
      <w:rFonts w:ascii="Calibri" w:hAnsi="Calibri" w:cs="Calibri"/>
      <w:szCs w:val="22"/>
      <w:lang w:val="en-AU" w:eastAsia="en-AU"/>
    </w:rPr>
  </w:style>
  <w:style w:type="character" w:customStyle="1" w:styleId="normaltextrun">
    <w:name w:val="normaltextrun"/>
    <w:basedOn w:val="DefaultParagraphFont"/>
    <w:rsid w:val="00B12FFB"/>
  </w:style>
  <w:style w:type="character" w:styleId="Strong">
    <w:name w:val="Strong"/>
    <w:basedOn w:val="DefaultParagraphFont"/>
    <w:uiPriority w:val="22"/>
    <w:qFormat/>
    <w:rsid w:val="00D8151F"/>
    <w:rPr>
      <w:b/>
      <w:bCs/>
    </w:rPr>
  </w:style>
  <w:style w:type="character" w:styleId="PlaceholderText">
    <w:name w:val="Placeholder Text"/>
    <w:basedOn w:val="DefaultParagraphFont"/>
    <w:uiPriority w:val="99"/>
    <w:semiHidden/>
    <w:rsid w:val="00793836"/>
    <w:rPr>
      <w:color w:val="808080"/>
    </w:rPr>
  </w:style>
  <w:style w:type="paragraph" w:customStyle="1" w:styleId="paragraph">
    <w:name w:val="paragraph"/>
    <w:basedOn w:val="Normal"/>
    <w:rsid w:val="002D5B80"/>
    <w:pPr>
      <w:spacing w:before="100" w:beforeAutospacing="1" w:after="100" w:afterAutospacing="1"/>
    </w:pPr>
    <w:rPr>
      <w:rFonts w:ascii="Times New Roman" w:eastAsia="Times New Roman" w:hAnsi="Times New Roman" w:cs="Times New Roman"/>
      <w:sz w:val="24"/>
      <w:lang w:val="en-AU" w:eastAsia="en-AU"/>
    </w:rPr>
  </w:style>
  <w:style w:type="character" w:customStyle="1" w:styleId="eop">
    <w:name w:val="eop"/>
    <w:basedOn w:val="DefaultParagraphFont"/>
    <w:rsid w:val="002D5B80"/>
  </w:style>
  <w:style w:type="table" w:styleId="GridTable4">
    <w:name w:val="Grid Table 4"/>
    <w:basedOn w:val="TableNormal"/>
    <w:uiPriority w:val="49"/>
    <w:rsid w:val="003F2C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3F2C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3F2CE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Accent6">
    <w:name w:val="Grid Table 5 Dark Accent 6"/>
    <w:basedOn w:val="TableNormal"/>
    <w:uiPriority w:val="50"/>
    <w:rsid w:val="00B117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109">
      <w:bodyDiv w:val="1"/>
      <w:marLeft w:val="0"/>
      <w:marRight w:val="0"/>
      <w:marTop w:val="0"/>
      <w:marBottom w:val="0"/>
      <w:divBdr>
        <w:top w:val="none" w:sz="0" w:space="0" w:color="auto"/>
        <w:left w:val="none" w:sz="0" w:space="0" w:color="auto"/>
        <w:bottom w:val="none" w:sz="0" w:space="0" w:color="auto"/>
        <w:right w:val="none" w:sz="0" w:space="0" w:color="auto"/>
      </w:divBdr>
    </w:div>
    <w:div w:id="151988745">
      <w:bodyDiv w:val="1"/>
      <w:marLeft w:val="0"/>
      <w:marRight w:val="0"/>
      <w:marTop w:val="0"/>
      <w:marBottom w:val="0"/>
      <w:divBdr>
        <w:top w:val="none" w:sz="0" w:space="0" w:color="auto"/>
        <w:left w:val="none" w:sz="0" w:space="0" w:color="auto"/>
        <w:bottom w:val="none" w:sz="0" w:space="0" w:color="auto"/>
        <w:right w:val="none" w:sz="0" w:space="0" w:color="auto"/>
      </w:divBdr>
    </w:div>
    <w:div w:id="360398149">
      <w:bodyDiv w:val="1"/>
      <w:marLeft w:val="0"/>
      <w:marRight w:val="0"/>
      <w:marTop w:val="0"/>
      <w:marBottom w:val="0"/>
      <w:divBdr>
        <w:top w:val="none" w:sz="0" w:space="0" w:color="auto"/>
        <w:left w:val="none" w:sz="0" w:space="0" w:color="auto"/>
        <w:bottom w:val="none" w:sz="0" w:space="0" w:color="auto"/>
        <w:right w:val="none" w:sz="0" w:space="0" w:color="auto"/>
      </w:divBdr>
    </w:div>
    <w:div w:id="418603223">
      <w:bodyDiv w:val="1"/>
      <w:marLeft w:val="0"/>
      <w:marRight w:val="0"/>
      <w:marTop w:val="0"/>
      <w:marBottom w:val="0"/>
      <w:divBdr>
        <w:top w:val="none" w:sz="0" w:space="0" w:color="auto"/>
        <w:left w:val="none" w:sz="0" w:space="0" w:color="auto"/>
        <w:bottom w:val="none" w:sz="0" w:space="0" w:color="auto"/>
        <w:right w:val="none" w:sz="0" w:space="0" w:color="auto"/>
      </w:divBdr>
    </w:div>
    <w:div w:id="487944105">
      <w:bodyDiv w:val="1"/>
      <w:marLeft w:val="0"/>
      <w:marRight w:val="0"/>
      <w:marTop w:val="0"/>
      <w:marBottom w:val="0"/>
      <w:divBdr>
        <w:top w:val="none" w:sz="0" w:space="0" w:color="auto"/>
        <w:left w:val="none" w:sz="0" w:space="0" w:color="auto"/>
        <w:bottom w:val="none" w:sz="0" w:space="0" w:color="auto"/>
        <w:right w:val="none" w:sz="0" w:space="0" w:color="auto"/>
      </w:divBdr>
    </w:div>
    <w:div w:id="606084570">
      <w:bodyDiv w:val="1"/>
      <w:marLeft w:val="0"/>
      <w:marRight w:val="0"/>
      <w:marTop w:val="0"/>
      <w:marBottom w:val="0"/>
      <w:divBdr>
        <w:top w:val="none" w:sz="0" w:space="0" w:color="auto"/>
        <w:left w:val="none" w:sz="0" w:space="0" w:color="auto"/>
        <w:bottom w:val="none" w:sz="0" w:space="0" w:color="auto"/>
        <w:right w:val="none" w:sz="0" w:space="0" w:color="auto"/>
      </w:divBdr>
    </w:div>
    <w:div w:id="677925479">
      <w:bodyDiv w:val="1"/>
      <w:marLeft w:val="0"/>
      <w:marRight w:val="0"/>
      <w:marTop w:val="0"/>
      <w:marBottom w:val="0"/>
      <w:divBdr>
        <w:top w:val="none" w:sz="0" w:space="0" w:color="auto"/>
        <w:left w:val="none" w:sz="0" w:space="0" w:color="auto"/>
        <w:bottom w:val="none" w:sz="0" w:space="0" w:color="auto"/>
        <w:right w:val="none" w:sz="0" w:space="0" w:color="auto"/>
      </w:divBdr>
    </w:div>
    <w:div w:id="742801616">
      <w:bodyDiv w:val="1"/>
      <w:marLeft w:val="0"/>
      <w:marRight w:val="0"/>
      <w:marTop w:val="0"/>
      <w:marBottom w:val="0"/>
      <w:divBdr>
        <w:top w:val="none" w:sz="0" w:space="0" w:color="auto"/>
        <w:left w:val="none" w:sz="0" w:space="0" w:color="auto"/>
        <w:bottom w:val="none" w:sz="0" w:space="0" w:color="auto"/>
        <w:right w:val="none" w:sz="0" w:space="0" w:color="auto"/>
      </w:divBdr>
    </w:div>
    <w:div w:id="796097570">
      <w:bodyDiv w:val="1"/>
      <w:marLeft w:val="0"/>
      <w:marRight w:val="0"/>
      <w:marTop w:val="0"/>
      <w:marBottom w:val="0"/>
      <w:divBdr>
        <w:top w:val="none" w:sz="0" w:space="0" w:color="auto"/>
        <w:left w:val="none" w:sz="0" w:space="0" w:color="auto"/>
        <w:bottom w:val="none" w:sz="0" w:space="0" w:color="auto"/>
        <w:right w:val="none" w:sz="0" w:space="0" w:color="auto"/>
      </w:divBdr>
    </w:div>
    <w:div w:id="897401303">
      <w:bodyDiv w:val="1"/>
      <w:marLeft w:val="0"/>
      <w:marRight w:val="0"/>
      <w:marTop w:val="0"/>
      <w:marBottom w:val="0"/>
      <w:divBdr>
        <w:top w:val="none" w:sz="0" w:space="0" w:color="auto"/>
        <w:left w:val="none" w:sz="0" w:space="0" w:color="auto"/>
        <w:bottom w:val="none" w:sz="0" w:space="0" w:color="auto"/>
        <w:right w:val="none" w:sz="0" w:space="0" w:color="auto"/>
      </w:divBdr>
    </w:div>
    <w:div w:id="915016050">
      <w:bodyDiv w:val="1"/>
      <w:marLeft w:val="0"/>
      <w:marRight w:val="0"/>
      <w:marTop w:val="0"/>
      <w:marBottom w:val="0"/>
      <w:divBdr>
        <w:top w:val="none" w:sz="0" w:space="0" w:color="auto"/>
        <w:left w:val="none" w:sz="0" w:space="0" w:color="auto"/>
        <w:bottom w:val="none" w:sz="0" w:space="0" w:color="auto"/>
        <w:right w:val="none" w:sz="0" w:space="0" w:color="auto"/>
      </w:divBdr>
    </w:div>
    <w:div w:id="944655325">
      <w:bodyDiv w:val="1"/>
      <w:marLeft w:val="0"/>
      <w:marRight w:val="0"/>
      <w:marTop w:val="0"/>
      <w:marBottom w:val="0"/>
      <w:divBdr>
        <w:top w:val="none" w:sz="0" w:space="0" w:color="auto"/>
        <w:left w:val="none" w:sz="0" w:space="0" w:color="auto"/>
        <w:bottom w:val="none" w:sz="0" w:space="0" w:color="auto"/>
        <w:right w:val="none" w:sz="0" w:space="0" w:color="auto"/>
      </w:divBdr>
    </w:div>
    <w:div w:id="946809654">
      <w:bodyDiv w:val="1"/>
      <w:marLeft w:val="0"/>
      <w:marRight w:val="0"/>
      <w:marTop w:val="0"/>
      <w:marBottom w:val="0"/>
      <w:divBdr>
        <w:top w:val="none" w:sz="0" w:space="0" w:color="auto"/>
        <w:left w:val="none" w:sz="0" w:space="0" w:color="auto"/>
        <w:bottom w:val="none" w:sz="0" w:space="0" w:color="auto"/>
        <w:right w:val="none" w:sz="0" w:space="0" w:color="auto"/>
      </w:divBdr>
    </w:div>
    <w:div w:id="984048083">
      <w:bodyDiv w:val="1"/>
      <w:marLeft w:val="0"/>
      <w:marRight w:val="0"/>
      <w:marTop w:val="0"/>
      <w:marBottom w:val="0"/>
      <w:divBdr>
        <w:top w:val="none" w:sz="0" w:space="0" w:color="auto"/>
        <w:left w:val="none" w:sz="0" w:space="0" w:color="auto"/>
        <w:bottom w:val="none" w:sz="0" w:space="0" w:color="auto"/>
        <w:right w:val="none" w:sz="0" w:space="0" w:color="auto"/>
      </w:divBdr>
    </w:div>
    <w:div w:id="1017737422">
      <w:bodyDiv w:val="1"/>
      <w:marLeft w:val="0"/>
      <w:marRight w:val="0"/>
      <w:marTop w:val="0"/>
      <w:marBottom w:val="0"/>
      <w:divBdr>
        <w:top w:val="none" w:sz="0" w:space="0" w:color="auto"/>
        <w:left w:val="none" w:sz="0" w:space="0" w:color="auto"/>
        <w:bottom w:val="none" w:sz="0" w:space="0" w:color="auto"/>
        <w:right w:val="none" w:sz="0" w:space="0" w:color="auto"/>
      </w:divBdr>
    </w:div>
    <w:div w:id="1070814026">
      <w:bodyDiv w:val="1"/>
      <w:marLeft w:val="0"/>
      <w:marRight w:val="0"/>
      <w:marTop w:val="0"/>
      <w:marBottom w:val="0"/>
      <w:divBdr>
        <w:top w:val="none" w:sz="0" w:space="0" w:color="auto"/>
        <w:left w:val="none" w:sz="0" w:space="0" w:color="auto"/>
        <w:bottom w:val="none" w:sz="0" w:space="0" w:color="auto"/>
        <w:right w:val="none" w:sz="0" w:space="0" w:color="auto"/>
      </w:divBdr>
    </w:div>
    <w:div w:id="1293709663">
      <w:bodyDiv w:val="1"/>
      <w:marLeft w:val="0"/>
      <w:marRight w:val="0"/>
      <w:marTop w:val="0"/>
      <w:marBottom w:val="0"/>
      <w:divBdr>
        <w:top w:val="none" w:sz="0" w:space="0" w:color="auto"/>
        <w:left w:val="none" w:sz="0" w:space="0" w:color="auto"/>
        <w:bottom w:val="none" w:sz="0" w:space="0" w:color="auto"/>
        <w:right w:val="none" w:sz="0" w:space="0" w:color="auto"/>
      </w:divBdr>
    </w:div>
    <w:div w:id="1334189336">
      <w:bodyDiv w:val="1"/>
      <w:marLeft w:val="0"/>
      <w:marRight w:val="0"/>
      <w:marTop w:val="0"/>
      <w:marBottom w:val="0"/>
      <w:divBdr>
        <w:top w:val="none" w:sz="0" w:space="0" w:color="auto"/>
        <w:left w:val="none" w:sz="0" w:space="0" w:color="auto"/>
        <w:bottom w:val="none" w:sz="0" w:space="0" w:color="auto"/>
        <w:right w:val="none" w:sz="0" w:space="0" w:color="auto"/>
      </w:divBdr>
    </w:div>
    <w:div w:id="1509174763">
      <w:bodyDiv w:val="1"/>
      <w:marLeft w:val="0"/>
      <w:marRight w:val="0"/>
      <w:marTop w:val="0"/>
      <w:marBottom w:val="0"/>
      <w:divBdr>
        <w:top w:val="none" w:sz="0" w:space="0" w:color="auto"/>
        <w:left w:val="none" w:sz="0" w:space="0" w:color="auto"/>
        <w:bottom w:val="none" w:sz="0" w:space="0" w:color="auto"/>
        <w:right w:val="none" w:sz="0" w:space="0" w:color="auto"/>
      </w:divBdr>
    </w:div>
    <w:div w:id="1593777583">
      <w:bodyDiv w:val="1"/>
      <w:marLeft w:val="0"/>
      <w:marRight w:val="0"/>
      <w:marTop w:val="0"/>
      <w:marBottom w:val="0"/>
      <w:divBdr>
        <w:top w:val="none" w:sz="0" w:space="0" w:color="auto"/>
        <w:left w:val="none" w:sz="0" w:space="0" w:color="auto"/>
        <w:bottom w:val="none" w:sz="0" w:space="0" w:color="auto"/>
        <w:right w:val="none" w:sz="0" w:space="0" w:color="auto"/>
      </w:divBdr>
    </w:div>
    <w:div w:id="1677465379">
      <w:bodyDiv w:val="1"/>
      <w:marLeft w:val="0"/>
      <w:marRight w:val="0"/>
      <w:marTop w:val="0"/>
      <w:marBottom w:val="0"/>
      <w:divBdr>
        <w:top w:val="none" w:sz="0" w:space="0" w:color="auto"/>
        <w:left w:val="none" w:sz="0" w:space="0" w:color="auto"/>
        <w:bottom w:val="none" w:sz="0" w:space="0" w:color="auto"/>
        <w:right w:val="none" w:sz="0" w:space="0" w:color="auto"/>
      </w:divBdr>
    </w:div>
    <w:div w:id="1836608029">
      <w:bodyDiv w:val="1"/>
      <w:marLeft w:val="0"/>
      <w:marRight w:val="0"/>
      <w:marTop w:val="0"/>
      <w:marBottom w:val="0"/>
      <w:divBdr>
        <w:top w:val="none" w:sz="0" w:space="0" w:color="auto"/>
        <w:left w:val="none" w:sz="0" w:space="0" w:color="auto"/>
        <w:bottom w:val="none" w:sz="0" w:space="0" w:color="auto"/>
        <w:right w:val="none" w:sz="0" w:space="0" w:color="auto"/>
      </w:divBdr>
    </w:div>
    <w:div w:id="1839878143">
      <w:bodyDiv w:val="1"/>
      <w:marLeft w:val="0"/>
      <w:marRight w:val="0"/>
      <w:marTop w:val="0"/>
      <w:marBottom w:val="0"/>
      <w:divBdr>
        <w:top w:val="none" w:sz="0" w:space="0" w:color="auto"/>
        <w:left w:val="none" w:sz="0" w:space="0" w:color="auto"/>
        <w:bottom w:val="none" w:sz="0" w:space="0" w:color="auto"/>
        <w:right w:val="none" w:sz="0" w:space="0" w:color="auto"/>
      </w:divBdr>
    </w:div>
    <w:div w:id="1843429332">
      <w:bodyDiv w:val="1"/>
      <w:marLeft w:val="0"/>
      <w:marRight w:val="0"/>
      <w:marTop w:val="0"/>
      <w:marBottom w:val="0"/>
      <w:divBdr>
        <w:top w:val="none" w:sz="0" w:space="0" w:color="auto"/>
        <w:left w:val="none" w:sz="0" w:space="0" w:color="auto"/>
        <w:bottom w:val="none" w:sz="0" w:space="0" w:color="auto"/>
        <w:right w:val="none" w:sz="0" w:space="0" w:color="auto"/>
      </w:divBdr>
    </w:div>
    <w:div w:id="1960136131">
      <w:bodyDiv w:val="1"/>
      <w:marLeft w:val="0"/>
      <w:marRight w:val="0"/>
      <w:marTop w:val="0"/>
      <w:marBottom w:val="0"/>
      <w:divBdr>
        <w:top w:val="none" w:sz="0" w:space="0" w:color="auto"/>
        <w:left w:val="none" w:sz="0" w:space="0" w:color="auto"/>
        <w:bottom w:val="none" w:sz="0" w:space="0" w:color="auto"/>
        <w:right w:val="none" w:sz="0" w:space="0" w:color="auto"/>
      </w:divBdr>
    </w:div>
    <w:div w:id="1989095111">
      <w:bodyDiv w:val="1"/>
      <w:marLeft w:val="0"/>
      <w:marRight w:val="0"/>
      <w:marTop w:val="0"/>
      <w:marBottom w:val="0"/>
      <w:divBdr>
        <w:top w:val="none" w:sz="0" w:space="0" w:color="auto"/>
        <w:left w:val="none" w:sz="0" w:space="0" w:color="auto"/>
        <w:bottom w:val="none" w:sz="0" w:space="0" w:color="auto"/>
        <w:right w:val="none" w:sz="0" w:space="0" w:color="auto"/>
      </w:divBdr>
    </w:div>
    <w:div w:id="2087847094">
      <w:bodyDiv w:val="1"/>
      <w:marLeft w:val="0"/>
      <w:marRight w:val="0"/>
      <w:marTop w:val="0"/>
      <w:marBottom w:val="0"/>
      <w:divBdr>
        <w:top w:val="none" w:sz="0" w:space="0" w:color="auto"/>
        <w:left w:val="none" w:sz="0" w:space="0" w:color="auto"/>
        <w:bottom w:val="none" w:sz="0" w:space="0" w:color="auto"/>
        <w:right w:val="none" w:sz="0" w:space="0" w:color="auto"/>
      </w:divBdr>
    </w:div>
    <w:div w:id="2100445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footer" Target="footer8.xml"/><Relationship Id="rId39" Type="http://schemas.openxmlformats.org/officeDocument/2006/relationships/image" Target="media/image16.png"/><Relationship Id="rId21" Type="http://schemas.openxmlformats.org/officeDocument/2006/relationships/header" Target="header5.xml"/><Relationship Id="rId34" Type="http://schemas.openxmlformats.org/officeDocument/2006/relationships/image" Target="media/image13.png"/><Relationship Id="rId42" Type="http://schemas.openxmlformats.org/officeDocument/2006/relationships/image" Target="media/image18.png"/><Relationship Id="rId47" Type="http://schemas.openxmlformats.org/officeDocument/2006/relationships/footer" Target="footer15.xml"/><Relationship Id="rId50" Type="http://schemas.openxmlformats.org/officeDocument/2006/relationships/image" Target="media/image24.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9.xml"/><Relationship Id="rId11" Type="http://schemas.openxmlformats.org/officeDocument/2006/relationships/header" Target="header3.xml"/><Relationship Id="rId24" Type="http://schemas.openxmlformats.org/officeDocument/2006/relationships/image" Target="media/image6.png"/><Relationship Id="rId32" Type="http://schemas.openxmlformats.org/officeDocument/2006/relationships/footer" Target="footer10.xml"/><Relationship Id="rId37" Type="http://schemas.openxmlformats.org/officeDocument/2006/relationships/image" Target="media/image15.png"/><Relationship Id="rId40" Type="http://schemas.openxmlformats.org/officeDocument/2006/relationships/image" Target="media/image17.png"/><Relationship Id="rId45" Type="http://schemas.openxmlformats.org/officeDocument/2006/relationships/image" Target="media/image20.png"/><Relationship Id="rId53" Type="http://schemas.openxmlformats.org/officeDocument/2006/relationships/footer" Target="footer18.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1.png"/><Relationship Id="rId44" Type="http://schemas.openxmlformats.org/officeDocument/2006/relationships/footer" Target="footer14.xml"/><Relationship Id="rId52"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footer" Target="footer11.xml"/><Relationship Id="rId43" Type="http://schemas.openxmlformats.org/officeDocument/2006/relationships/image" Target="media/image19.png"/><Relationship Id="rId48" Type="http://schemas.openxmlformats.org/officeDocument/2006/relationships/image" Target="media/image22.pn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image" Target="media/image12.png"/><Relationship Id="rId38" Type="http://schemas.openxmlformats.org/officeDocument/2006/relationships/footer" Target="footer12.xml"/><Relationship Id="rId46" Type="http://schemas.openxmlformats.org/officeDocument/2006/relationships/image" Target="media/image21.png"/><Relationship Id="rId20" Type="http://schemas.openxmlformats.org/officeDocument/2006/relationships/image" Target="media/image5.png"/><Relationship Id="rId41" Type="http://schemas.openxmlformats.org/officeDocument/2006/relationships/footer" Target="footer13.xm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image" Target="media/image9.png"/><Relationship Id="rId36" Type="http://schemas.openxmlformats.org/officeDocument/2006/relationships/image" Target="media/image14.png"/><Relationship Id="rId49"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CC3267-F2F0-4BA5-8362-53F77797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7958</Words>
  <Characters>45363</Characters>
  <Application>Microsoft Office Word</Application>
  <DocSecurity>0</DocSecurity>
  <Lines>378</Lines>
  <Paragraphs>106</Paragraphs>
  <ScaleCrop>false</ScaleCrop>
  <Company/>
  <LinksUpToDate>false</LinksUpToDate>
  <CharactersWithSpaces>53215</CharactersWithSpaces>
  <SharedDoc>false</SharedDoc>
  <HLinks>
    <vt:vector size="96" baseType="variant">
      <vt:variant>
        <vt:i4>1638452</vt:i4>
      </vt:variant>
      <vt:variant>
        <vt:i4>86</vt:i4>
      </vt:variant>
      <vt:variant>
        <vt:i4>0</vt:i4>
      </vt:variant>
      <vt:variant>
        <vt:i4>5</vt:i4>
      </vt:variant>
      <vt:variant>
        <vt:lpwstr/>
      </vt:variant>
      <vt:variant>
        <vt:lpwstr>_Toc111126685</vt:lpwstr>
      </vt:variant>
      <vt:variant>
        <vt:i4>1638452</vt:i4>
      </vt:variant>
      <vt:variant>
        <vt:i4>80</vt:i4>
      </vt:variant>
      <vt:variant>
        <vt:i4>0</vt:i4>
      </vt:variant>
      <vt:variant>
        <vt:i4>5</vt:i4>
      </vt:variant>
      <vt:variant>
        <vt:lpwstr/>
      </vt:variant>
      <vt:variant>
        <vt:lpwstr>_Toc111126684</vt:lpwstr>
      </vt:variant>
      <vt:variant>
        <vt:i4>1638452</vt:i4>
      </vt:variant>
      <vt:variant>
        <vt:i4>74</vt:i4>
      </vt:variant>
      <vt:variant>
        <vt:i4>0</vt:i4>
      </vt:variant>
      <vt:variant>
        <vt:i4>5</vt:i4>
      </vt:variant>
      <vt:variant>
        <vt:lpwstr/>
      </vt:variant>
      <vt:variant>
        <vt:lpwstr>_Toc111126683</vt:lpwstr>
      </vt:variant>
      <vt:variant>
        <vt:i4>1638452</vt:i4>
      </vt:variant>
      <vt:variant>
        <vt:i4>68</vt:i4>
      </vt:variant>
      <vt:variant>
        <vt:i4>0</vt:i4>
      </vt:variant>
      <vt:variant>
        <vt:i4>5</vt:i4>
      </vt:variant>
      <vt:variant>
        <vt:lpwstr/>
      </vt:variant>
      <vt:variant>
        <vt:lpwstr>_Toc111126682</vt:lpwstr>
      </vt:variant>
      <vt:variant>
        <vt:i4>1638452</vt:i4>
      </vt:variant>
      <vt:variant>
        <vt:i4>62</vt:i4>
      </vt:variant>
      <vt:variant>
        <vt:i4>0</vt:i4>
      </vt:variant>
      <vt:variant>
        <vt:i4>5</vt:i4>
      </vt:variant>
      <vt:variant>
        <vt:lpwstr/>
      </vt:variant>
      <vt:variant>
        <vt:lpwstr>_Toc111126681</vt:lpwstr>
      </vt:variant>
      <vt:variant>
        <vt:i4>1638452</vt:i4>
      </vt:variant>
      <vt:variant>
        <vt:i4>56</vt:i4>
      </vt:variant>
      <vt:variant>
        <vt:i4>0</vt:i4>
      </vt:variant>
      <vt:variant>
        <vt:i4>5</vt:i4>
      </vt:variant>
      <vt:variant>
        <vt:lpwstr/>
      </vt:variant>
      <vt:variant>
        <vt:lpwstr>_Toc111126680</vt:lpwstr>
      </vt:variant>
      <vt:variant>
        <vt:i4>1441844</vt:i4>
      </vt:variant>
      <vt:variant>
        <vt:i4>50</vt:i4>
      </vt:variant>
      <vt:variant>
        <vt:i4>0</vt:i4>
      </vt:variant>
      <vt:variant>
        <vt:i4>5</vt:i4>
      </vt:variant>
      <vt:variant>
        <vt:lpwstr/>
      </vt:variant>
      <vt:variant>
        <vt:lpwstr>_Toc111126679</vt:lpwstr>
      </vt:variant>
      <vt:variant>
        <vt:i4>1441844</vt:i4>
      </vt:variant>
      <vt:variant>
        <vt:i4>44</vt:i4>
      </vt:variant>
      <vt:variant>
        <vt:i4>0</vt:i4>
      </vt:variant>
      <vt:variant>
        <vt:i4>5</vt:i4>
      </vt:variant>
      <vt:variant>
        <vt:lpwstr/>
      </vt:variant>
      <vt:variant>
        <vt:lpwstr>_Toc111126678</vt:lpwstr>
      </vt:variant>
      <vt:variant>
        <vt:i4>1441844</vt:i4>
      </vt:variant>
      <vt:variant>
        <vt:i4>38</vt:i4>
      </vt:variant>
      <vt:variant>
        <vt:i4>0</vt:i4>
      </vt:variant>
      <vt:variant>
        <vt:i4>5</vt:i4>
      </vt:variant>
      <vt:variant>
        <vt:lpwstr/>
      </vt:variant>
      <vt:variant>
        <vt:lpwstr>_Toc111126677</vt:lpwstr>
      </vt:variant>
      <vt:variant>
        <vt:i4>1441844</vt:i4>
      </vt:variant>
      <vt:variant>
        <vt:i4>32</vt:i4>
      </vt:variant>
      <vt:variant>
        <vt:i4>0</vt:i4>
      </vt:variant>
      <vt:variant>
        <vt:i4>5</vt:i4>
      </vt:variant>
      <vt:variant>
        <vt:lpwstr/>
      </vt:variant>
      <vt:variant>
        <vt:lpwstr>_Toc111126676</vt:lpwstr>
      </vt:variant>
      <vt:variant>
        <vt:i4>1441844</vt:i4>
      </vt:variant>
      <vt:variant>
        <vt:i4>26</vt:i4>
      </vt:variant>
      <vt:variant>
        <vt:i4>0</vt:i4>
      </vt:variant>
      <vt:variant>
        <vt:i4>5</vt:i4>
      </vt:variant>
      <vt:variant>
        <vt:lpwstr/>
      </vt:variant>
      <vt:variant>
        <vt:lpwstr>_Toc111126675</vt:lpwstr>
      </vt:variant>
      <vt:variant>
        <vt:i4>1441844</vt:i4>
      </vt:variant>
      <vt:variant>
        <vt:i4>20</vt:i4>
      </vt:variant>
      <vt:variant>
        <vt:i4>0</vt:i4>
      </vt:variant>
      <vt:variant>
        <vt:i4>5</vt:i4>
      </vt:variant>
      <vt:variant>
        <vt:lpwstr/>
      </vt:variant>
      <vt:variant>
        <vt:lpwstr>_Toc111126674</vt:lpwstr>
      </vt:variant>
      <vt:variant>
        <vt:i4>1441844</vt:i4>
      </vt:variant>
      <vt:variant>
        <vt:i4>14</vt:i4>
      </vt:variant>
      <vt:variant>
        <vt:i4>0</vt:i4>
      </vt:variant>
      <vt:variant>
        <vt:i4>5</vt:i4>
      </vt:variant>
      <vt:variant>
        <vt:lpwstr/>
      </vt:variant>
      <vt:variant>
        <vt:lpwstr>_Toc111126673</vt:lpwstr>
      </vt:variant>
      <vt:variant>
        <vt:i4>1441844</vt:i4>
      </vt:variant>
      <vt:variant>
        <vt:i4>8</vt:i4>
      </vt:variant>
      <vt:variant>
        <vt:i4>0</vt:i4>
      </vt:variant>
      <vt:variant>
        <vt:i4>5</vt:i4>
      </vt:variant>
      <vt:variant>
        <vt:lpwstr/>
      </vt:variant>
      <vt:variant>
        <vt:lpwstr>_Toc111126672</vt:lpwstr>
      </vt:variant>
      <vt:variant>
        <vt:i4>1441844</vt:i4>
      </vt:variant>
      <vt:variant>
        <vt:i4>2</vt:i4>
      </vt:variant>
      <vt:variant>
        <vt:i4>0</vt:i4>
      </vt:variant>
      <vt:variant>
        <vt:i4>5</vt:i4>
      </vt:variant>
      <vt:variant>
        <vt:lpwstr/>
      </vt:variant>
      <vt:variant>
        <vt:lpwstr>_Toc111126671</vt:lpwstr>
      </vt:variant>
      <vt:variant>
        <vt:i4>2293852</vt:i4>
      </vt:variant>
      <vt:variant>
        <vt:i4>0</vt:i4>
      </vt:variant>
      <vt:variant>
        <vt:i4>0</vt:i4>
      </vt:variant>
      <vt:variant>
        <vt:i4>5</vt:i4>
      </vt:variant>
      <vt:variant>
        <vt:lpwstr>mailto:Roselyn.Buagas@brisbane.qld.gov.au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2023-02-21T03:06:00Z</dcterms:created>
  <dcterms:modified xsi:type="dcterms:W3CDTF">2023-02-21T03:06:00Z</dcterms:modified>
</cp:coreProperties>
</file>